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2B1CE4BB"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CF0B87">
        <w:rPr>
          <w:b/>
          <w:bCs/>
          <w:sz w:val="30"/>
          <w:szCs w:val="30"/>
        </w:rPr>
        <w:t>South Suburban</w:t>
      </w:r>
      <w:r w:rsidR="00241391">
        <w:rPr>
          <w:b/>
          <w:bCs/>
          <w:sz w:val="30"/>
          <w:szCs w:val="30"/>
        </w:rPr>
        <w:t xml:space="preserve"> College (</w:t>
      </w:r>
      <w:r w:rsidR="00CF0B87">
        <w:rPr>
          <w:b/>
          <w:bCs/>
          <w:sz w:val="30"/>
          <w:szCs w:val="30"/>
        </w:rPr>
        <w:t>SS</w:t>
      </w:r>
      <w:r w:rsidR="00241391">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6ACF9637" w14:textId="77777777" w:rsidR="00C257D7" w:rsidRDefault="00306B45" w:rsidP="00C257D7">
      <w:pPr>
        <w:tabs>
          <w:tab w:val="left" w:pos="1350"/>
        </w:tabs>
        <w:spacing w:after="0"/>
        <w:jc w:val="center"/>
        <w:rPr>
          <w:b/>
          <w:bCs/>
          <w:sz w:val="30"/>
          <w:szCs w:val="30"/>
          <w:highlight w:val="yellow"/>
        </w:rPr>
      </w:pPr>
      <w:r w:rsidRPr="00E31317">
        <w:rPr>
          <w:b/>
          <w:bCs/>
          <w:sz w:val="28"/>
          <w:szCs w:val="28"/>
        </w:rPr>
        <w:t xml:space="preserve">Major: </w:t>
      </w:r>
      <w:r w:rsidR="00C257D7">
        <w:rPr>
          <w:b/>
          <w:bCs/>
          <w:sz w:val="30"/>
          <w:szCs w:val="30"/>
          <w:highlight w:val="yellow"/>
        </w:rPr>
        <w:t>Biomedical Science</w:t>
      </w:r>
    </w:p>
    <w:p w14:paraId="0FAF73C9" w14:textId="11603AB2" w:rsidR="00E31317" w:rsidRDefault="00C257D7" w:rsidP="00C257D7">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33B86B66" w14:textId="77777777" w:rsidR="00C257D7" w:rsidRPr="00C257D7" w:rsidRDefault="00C257D7" w:rsidP="00C257D7">
      <w:pPr>
        <w:tabs>
          <w:tab w:val="left" w:pos="1350"/>
        </w:tabs>
        <w:spacing w:after="0"/>
        <w:jc w:val="center"/>
        <w:rPr>
          <w:b/>
          <w:bCs/>
          <w:sz w:val="24"/>
          <w:szCs w:val="24"/>
        </w:rPr>
      </w:pPr>
    </w:p>
    <w:p w14:paraId="147C0C31" w14:textId="0DA3EA9D" w:rsidR="00CF0B87" w:rsidRDefault="00CF0B87" w:rsidP="00CF0B87">
      <w:pPr>
        <w:tabs>
          <w:tab w:val="left" w:pos="1350"/>
        </w:tabs>
        <w:spacing w:after="0"/>
        <w:ind w:left="-810" w:right="-720"/>
        <w:rPr>
          <w:sz w:val="24"/>
          <w:szCs w:val="24"/>
        </w:rPr>
      </w:pPr>
      <w:bookmarkStart w:id="0" w:name="_Hlk93400545"/>
      <w:r w:rsidRPr="0082307E">
        <w:rPr>
          <w:sz w:val="24"/>
          <w:szCs w:val="24"/>
        </w:rPr>
        <w:t xml:space="preserve">Completing your Associate in </w:t>
      </w:r>
      <w:r>
        <w:rPr>
          <w:sz w:val="24"/>
          <w:szCs w:val="24"/>
        </w:rPr>
        <w:t>Arts</w:t>
      </w:r>
      <w:r w:rsidRPr="0082307E">
        <w:rPr>
          <w:sz w:val="24"/>
          <w:szCs w:val="24"/>
        </w:rPr>
        <w:t xml:space="preserve"> degree at </w:t>
      </w:r>
      <w:r>
        <w:rPr>
          <w:sz w:val="24"/>
          <w:szCs w:val="24"/>
        </w:rPr>
        <w:t>South Suburban College</w:t>
      </w:r>
      <w:r w:rsidRPr="0082307E">
        <w:rPr>
          <w:sz w:val="24"/>
          <w:szCs w:val="24"/>
        </w:rPr>
        <w:t xml:space="preserve"> with the following course selections will meet most of the general education and major core requirements for Calumet College of St. Joseph for </w:t>
      </w:r>
      <w:r w:rsidR="00145CD5">
        <w:rPr>
          <w:sz w:val="24"/>
          <w:szCs w:val="24"/>
        </w:rPr>
        <w:t>Biomedical Science</w:t>
      </w:r>
      <w:bookmarkStart w:id="1" w:name="_GoBack"/>
      <w:bookmarkEnd w:id="1"/>
      <w:r w:rsidRPr="0082307E">
        <w:rPr>
          <w:sz w:val="24"/>
          <w:szCs w:val="24"/>
        </w:rPr>
        <w:t xml:space="preserve">.  There are mission-directed general education courses you will complete at CCSJ.  </w:t>
      </w:r>
      <w:bookmarkStart w:id="2" w:name="_Hlk93402601"/>
      <w:r w:rsidRPr="0082307E">
        <w:rPr>
          <w:sz w:val="24"/>
          <w:szCs w:val="24"/>
        </w:rPr>
        <w:t>If you are planning to transfer without the A</w:t>
      </w:r>
      <w:r>
        <w:rPr>
          <w:sz w:val="24"/>
          <w:szCs w:val="24"/>
        </w:rPr>
        <w:t>A</w:t>
      </w:r>
      <w:r w:rsidRPr="0082307E">
        <w:rPr>
          <w:sz w:val="24"/>
          <w:szCs w:val="24"/>
        </w:rPr>
        <w:t xml:space="preserve"> degree, </w:t>
      </w:r>
      <w:bookmarkEnd w:id="0"/>
      <w:bookmarkEnd w:id="2"/>
      <w:r w:rsidRPr="0082307E">
        <w:rPr>
          <w:sz w:val="24"/>
          <w:szCs w:val="24"/>
        </w:rPr>
        <w:t xml:space="preserve">contact Admissions at CCSJ to discuss course planning (219-473-7770; </w:t>
      </w:r>
      <w:hyperlink r:id="rId7" w:history="1">
        <w:r w:rsidRPr="0082307E">
          <w:rPr>
            <w:rStyle w:val="Hyperlink"/>
            <w:sz w:val="24"/>
            <w:szCs w:val="24"/>
          </w:rPr>
          <w:t>admissions@ccsj.edu</w:t>
        </w:r>
      </w:hyperlink>
      <w:r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2C368408" w:rsidR="00F67280" w:rsidRPr="0082307E" w:rsidRDefault="00CF0B87" w:rsidP="005C6DAA">
            <w:pPr>
              <w:tabs>
                <w:tab w:val="left" w:pos="1350"/>
              </w:tabs>
              <w:rPr>
                <w:b/>
                <w:bCs/>
                <w:sz w:val="24"/>
                <w:szCs w:val="24"/>
              </w:rPr>
            </w:pPr>
            <w:r>
              <w:rPr>
                <w:b/>
                <w:bCs/>
                <w:sz w:val="24"/>
                <w:szCs w:val="24"/>
              </w:rPr>
              <w:t>South Suburban</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14C8D163" w14:textId="77777777" w:rsidR="00CF0B87" w:rsidRPr="00CF0B87" w:rsidRDefault="00CF0B87" w:rsidP="00CF0B87">
            <w:pPr>
              <w:tabs>
                <w:tab w:val="left" w:pos="1350"/>
              </w:tabs>
              <w:rPr>
                <w:b/>
                <w:bCs/>
              </w:rPr>
            </w:pPr>
            <w:r w:rsidRPr="00CF0B87">
              <w:rPr>
                <w:b/>
                <w:bCs/>
              </w:rPr>
              <w:t>South Suburban College General Education categories</w:t>
            </w:r>
          </w:p>
          <w:p w14:paraId="100FFE79" w14:textId="1EC8595F" w:rsidR="00CF0B87" w:rsidRPr="00CF0B87" w:rsidRDefault="00CF0B87" w:rsidP="00CF0B87">
            <w:pPr>
              <w:tabs>
                <w:tab w:val="left" w:pos="1350"/>
              </w:tabs>
              <w:rPr>
                <w:b/>
                <w:bCs/>
              </w:rPr>
            </w:pPr>
            <w:r w:rsidRPr="00CF0B87">
              <w:rPr>
                <w:b/>
                <w:bCs/>
              </w:rPr>
              <w:t xml:space="preserve"> </w:t>
            </w:r>
          </w:p>
          <w:p w14:paraId="4B515E1D" w14:textId="2DE712CB" w:rsidR="00157630" w:rsidRPr="0082307E" w:rsidRDefault="00157630" w:rsidP="00157630">
            <w:pPr>
              <w:tabs>
                <w:tab w:val="left" w:pos="1350"/>
              </w:tabs>
              <w:rPr>
                <w:b/>
                <w:bCs/>
                <w:sz w:val="30"/>
                <w:szCs w:val="30"/>
              </w:rPr>
            </w:pPr>
          </w:p>
        </w:tc>
        <w:tc>
          <w:tcPr>
            <w:tcW w:w="3600" w:type="dxa"/>
            <w:shd w:val="clear" w:color="auto" w:fill="auto"/>
          </w:tcPr>
          <w:p w14:paraId="0B9459CD" w14:textId="62706AF7" w:rsidR="00157630" w:rsidRPr="0082307E" w:rsidRDefault="00157630" w:rsidP="00157630">
            <w:pPr>
              <w:tabs>
                <w:tab w:val="left" w:pos="1350"/>
              </w:tabs>
              <w:rPr>
                <w:b/>
                <w:bCs/>
                <w:sz w:val="24"/>
                <w:szCs w:val="24"/>
              </w:rPr>
            </w:pPr>
            <w:r>
              <w:t xml:space="preserve">The following are the </w:t>
            </w:r>
            <w:r w:rsidR="0061564A">
              <w:t>South Suburban</w:t>
            </w:r>
            <w:r>
              <w:t xml:space="preserv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157630" w:rsidRPr="0082307E" w14:paraId="06D0F5F5" w14:textId="77777777" w:rsidTr="007E70C1">
        <w:trPr>
          <w:trHeight w:val="288"/>
        </w:trPr>
        <w:tc>
          <w:tcPr>
            <w:tcW w:w="3600" w:type="dxa"/>
            <w:vMerge w:val="restart"/>
          </w:tcPr>
          <w:p w14:paraId="7AC03C54" w14:textId="523D33D7" w:rsidR="00157630" w:rsidRPr="00306B45" w:rsidRDefault="00157630" w:rsidP="00157630">
            <w:pPr>
              <w:tabs>
                <w:tab w:val="left" w:pos="1350"/>
              </w:tabs>
              <w:rPr>
                <w:rFonts w:cstheme="minorHAnsi"/>
                <w:b/>
                <w:bCs/>
              </w:rPr>
            </w:pPr>
            <w:r>
              <w:rPr>
                <w:rFonts w:cstheme="minorHAnsi"/>
                <w:b/>
                <w:bCs/>
              </w:rPr>
              <w:t xml:space="preserve">Communication </w:t>
            </w:r>
          </w:p>
          <w:p w14:paraId="32A9686C" w14:textId="153FC432" w:rsidR="00157630" w:rsidRPr="00306B45" w:rsidRDefault="00157630" w:rsidP="00157630">
            <w:pPr>
              <w:tabs>
                <w:tab w:val="left" w:pos="1350"/>
              </w:tabs>
              <w:rPr>
                <w:rFonts w:cstheme="minorHAnsi"/>
                <w:b/>
                <w:bCs/>
              </w:rPr>
            </w:pPr>
          </w:p>
        </w:tc>
        <w:tc>
          <w:tcPr>
            <w:tcW w:w="3600" w:type="dxa"/>
          </w:tcPr>
          <w:p w14:paraId="2817D7D2" w14:textId="3C027725" w:rsidR="00157630" w:rsidRPr="006904B3" w:rsidRDefault="00157630" w:rsidP="00157630">
            <w:pPr>
              <w:tabs>
                <w:tab w:val="left" w:pos="1350"/>
                <w:tab w:val="left" w:pos="2295"/>
              </w:tabs>
              <w:rPr>
                <w:rFonts w:cstheme="minorHAnsi"/>
              </w:rPr>
            </w:pPr>
            <w:r>
              <w:rPr>
                <w:rFonts w:cstheme="minorHAnsi"/>
              </w:rPr>
              <w:t>ENG</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5A52F93" w:rsidR="00157630" w:rsidRPr="006904B3" w:rsidRDefault="00157630" w:rsidP="00157630">
            <w:pPr>
              <w:tabs>
                <w:tab w:val="left" w:pos="1350"/>
              </w:tabs>
              <w:rPr>
                <w:rFonts w:cstheme="minorHAnsi"/>
              </w:rPr>
            </w:pPr>
            <w:r w:rsidRPr="006904B3">
              <w:rPr>
                <w:rFonts w:cstheme="minorHAnsi"/>
              </w:rPr>
              <w:t>EMCO 103-3</w:t>
            </w:r>
            <w:r w:rsidRPr="006904B3">
              <w:rPr>
                <w:rFonts w:cstheme="minorHAnsi"/>
                <w:i/>
                <w:iCs/>
              </w:rPr>
              <w:t xml:space="preserve"> </w:t>
            </w:r>
          </w:p>
        </w:tc>
      </w:tr>
      <w:tr w:rsidR="00157630" w:rsidRPr="0082307E" w14:paraId="78307100" w14:textId="77777777" w:rsidTr="007E70C1">
        <w:trPr>
          <w:trHeight w:val="288"/>
        </w:trPr>
        <w:tc>
          <w:tcPr>
            <w:tcW w:w="3600" w:type="dxa"/>
            <w:vMerge/>
          </w:tcPr>
          <w:p w14:paraId="19785B39" w14:textId="68A771A9" w:rsidR="00157630" w:rsidRPr="00306B45" w:rsidRDefault="00157630" w:rsidP="00157630">
            <w:pPr>
              <w:tabs>
                <w:tab w:val="left" w:pos="1350"/>
              </w:tabs>
              <w:rPr>
                <w:rFonts w:cstheme="minorHAnsi"/>
                <w:b/>
                <w:bCs/>
              </w:rPr>
            </w:pPr>
          </w:p>
        </w:tc>
        <w:tc>
          <w:tcPr>
            <w:tcW w:w="3600" w:type="dxa"/>
          </w:tcPr>
          <w:p w14:paraId="39505B6B" w14:textId="45A19C31" w:rsidR="00157630" w:rsidRPr="006904B3" w:rsidRDefault="00157630" w:rsidP="00157630">
            <w:pPr>
              <w:tabs>
                <w:tab w:val="left" w:pos="1350"/>
              </w:tabs>
              <w:rPr>
                <w:rFonts w:cstheme="minorHAnsi"/>
              </w:rPr>
            </w:pPr>
            <w:r>
              <w:rPr>
                <w:rFonts w:cstheme="minorHAnsi"/>
              </w:rPr>
              <w:t>ENG</w:t>
            </w:r>
            <w:r w:rsidRPr="006904B3">
              <w:rPr>
                <w:rFonts w:cstheme="minorHAnsi"/>
              </w:rPr>
              <w:t xml:space="preserve"> 102</w:t>
            </w:r>
          </w:p>
        </w:tc>
        <w:tc>
          <w:tcPr>
            <w:tcW w:w="3780" w:type="dxa"/>
          </w:tcPr>
          <w:p w14:paraId="5ACFFD2C" w14:textId="3BEBC827" w:rsidR="00157630" w:rsidRPr="006904B3" w:rsidRDefault="00157630" w:rsidP="00157630">
            <w:pPr>
              <w:tabs>
                <w:tab w:val="left" w:pos="1350"/>
              </w:tabs>
              <w:rPr>
                <w:rFonts w:cstheme="minorHAnsi"/>
              </w:rPr>
            </w:pPr>
            <w:r w:rsidRPr="006904B3">
              <w:rPr>
                <w:rFonts w:cstheme="minorHAnsi"/>
              </w:rPr>
              <w:t>elective-3</w:t>
            </w:r>
          </w:p>
        </w:tc>
      </w:tr>
      <w:tr w:rsidR="00157630" w:rsidRPr="0082307E" w14:paraId="48D518CE" w14:textId="77777777" w:rsidTr="007E70C1">
        <w:trPr>
          <w:trHeight w:val="288"/>
        </w:trPr>
        <w:tc>
          <w:tcPr>
            <w:tcW w:w="3600" w:type="dxa"/>
            <w:vMerge/>
          </w:tcPr>
          <w:p w14:paraId="2DEA1387" w14:textId="77777777" w:rsidR="00157630" w:rsidRPr="00306B45" w:rsidRDefault="00157630" w:rsidP="00157630">
            <w:pPr>
              <w:tabs>
                <w:tab w:val="left" w:pos="1350"/>
              </w:tabs>
              <w:rPr>
                <w:rFonts w:cstheme="minorHAnsi"/>
                <w:b/>
                <w:bCs/>
              </w:rPr>
            </w:pPr>
          </w:p>
        </w:tc>
        <w:tc>
          <w:tcPr>
            <w:tcW w:w="3600" w:type="dxa"/>
          </w:tcPr>
          <w:p w14:paraId="07FBDCB7" w14:textId="092D6B18" w:rsidR="00157630" w:rsidRPr="006904B3" w:rsidRDefault="008D4082" w:rsidP="00157630">
            <w:pPr>
              <w:tabs>
                <w:tab w:val="left" w:pos="1350"/>
              </w:tabs>
              <w:rPr>
                <w:rFonts w:cstheme="minorHAnsi"/>
              </w:rPr>
            </w:pPr>
            <w:r>
              <w:rPr>
                <w:rFonts w:cstheme="minorHAnsi"/>
              </w:rPr>
              <w:t>SPE 108</w:t>
            </w:r>
          </w:p>
        </w:tc>
        <w:tc>
          <w:tcPr>
            <w:tcW w:w="3780" w:type="dxa"/>
          </w:tcPr>
          <w:p w14:paraId="644F1492" w14:textId="4B852FEA" w:rsidR="00157630" w:rsidRPr="006904B3" w:rsidRDefault="00157630" w:rsidP="00157630">
            <w:pPr>
              <w:tabs>
                <w:tab w:val="left" w:pos="1350"/>
              </w:tabs>
              <w:rPr>
                <w:rFonts w:cstheme="minorHAnsi"/>
              </w:rPr>
            </w:pPr>
            <w:r w:rsidRPr="006904B3">
              <w:rPr>
                <w:rFonts w:cstheme="minorHAnsi"/>
              </w:rPr>
              <w:t xml:space="preserve">EMCO 150-3 </w:t>
            </w:r>
          </w:p>
        </w:tc>
      </w:tr>
      <w:tr w:rsidR="00157630" w:rsidRPr="0082307E" w14:paraId="46C212D6" w14:textId="77777777" w:rsidTr="007E70C1">
        <w:trPr>
          <w:trHeight w:val="373"/>
        </w:trPr>
        <w:tc>
          <w:tcPr>
            <w:tcW w:w="3600" w:type="dxa"/>
            <w:vMerge w:val="restart"/>
          </w:tcPr>
          <w:p w14:paraId="22E320EE" w14:textId="0D0B69EE" w:rsidR="00157630" w:rsidRPr="00306B45" w:rsidRDefault="00157630" w:rsidP="00157630">
            <w:pPr>
              <w:tabs>
                <w:tab w:val="left" w:pos="1350"/>
              </w:tabs>
              <w:rPr>
                <w:rFonts w:cstheme="minorHAnsi"/>
                <w:b/>
                <w:bCs/>
              </w:rPr>
            </w:pPr>
            <w:r>
              <w:rPr>
                <w:rFonts w:cstheme="minorHAnsi"/>
                <w:b/>
                <w:bCs/>
              </w:rPr>
              <w:t>Mathematics</w:t>
            </w:r>
          </w:p>
          <w:p w14:paraId="756BFC0A" w14:textId="37AF89ED" w:rsidR="00157630" w:rsidRPr="00306B45" w:rsidRDefault="00157630" w:rsidP="0015763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CF0B87">
              <w:rPr>
                <w:rFonts w:cstheme="minorHAnsi"/>
                <w:i/>
                <w:iCs/>
                <w:sz w:val="20"/>
                <w:szCs w:val="20"/>
              </w:rPr>
              <w:t>SS</w:t>
            </w:r>
            <w:r>
              <w:rPr>
                <w:rFonts w:cstheme="minorHAnsi"/>
                <w:i/>
                <w:iCs/>
                <w:sz w:val="20"/>
                <w:szCs w:val="20"/>
              </w:rPr>
              <w:t xml:space="preserve">C </w:t>
            </w:r>
            <w:r w:rsidRPr="00306B45">
              <w:rPr>
                <w:rFonts w:cstheme="minorHAnsi"/>
                <w:i/>
                <w:iCs/>
                <w:sz w:val="20"/>
                <w:szCs w:val="20"/>
              </w:rPr>
              <w:t>and CCSJ</w:t>
            </w:r>
          </w:p>
        </w:tc>
        <w:tc>
          <w:tcPr>
            <w:tcW w:w="3600" w:type="dxa"/>
          </w:tcPr>
          <w:p w14:paraId="4AB11354" w14:textId="52BCB222" w:rsidR="00157630" w:rsidRPr="006904B3" w:rsidRDefault="00157630" w:rsidP="00157630">
            <w:pPr>
              <w:tabs>
                <w:tab w:val="left" w:pos="1350"/>
              </w:tabs>
              <w:rPr>
                <w:rFonts w:cstheme="minorHAnsi"/>
              </w:rPr>
            </w:pPr>
            <w:r w:rsidRPr="006904B3">
              <w:rPr>
                <w:rFonts w:cstheme="minorHAnsi"/>
              </w:rPr>
              <w:t>M</w:t>
            </w:r>
            <w:r w:rsidR="00C471C5">
              <w:rPr>
                <w:rFonts w:cstheme="minorHAnsi"/>
              </w:rPr>
              <w:t>TH 161</w:t>
            </w:r>
          </w:p>
        </w:tc>
        <w:tc>
          <w:tcPr>
            <w:tcW w:w="3780" w:type="dxa"/>
          </w:tcPr>
          <w:p w14:paraId="063F558F" w14:textId="4E53ED73" w:rsidR="00157630" w:rsidRPr="00306B45" w:rsidRDefault="00157630" w:rsidP="00157630">
            <w:pPr>
              <w:tabs>
                <w:tab w:val="left" w:pos="1350"/>
              </w:tabs>
              <w:rPr>
                <w:rFonts w:cstheme="minorHAnsi"/>
              </w:rPr>
            </w:pPr>
            <w:r w:rsidRPr="00D758B7">
              <w:rPr>
                <w:rFonts w:cstheme="minorHAnsi"/>
              </w:rPr>
              <w:t>MATH 110-</w:t>
            </w:r>
            <w:r>
              <w:rPr>
                <w:rFonts w:cstheme="minorHAnsi"/>
              </w:rPr>
              <w:t>4</w:t>
            </w:r>
          </w:p>
        </w:tc>
      </w:tr>
      <w:tr w:rsidR="00157630" w:rsidRPr="0082307E" w14:paraId="44B0A954" w14:textId="77777777" w:rsidTr="007E70C1">
        <w:trPr>
          <w:trHeight w:val="374"/>
        </w:trPr>
        <w:tc>
          <w:tcPr>
            <w:tcW w:w="3600" w:type="dxa"/>
            <w:vMerge/>
          </w:tcPr>
          <w:p w14:paraId="38E6FA9C" w14:textId="77777777" w:rsidR="00157630" w:rsidRPr="00306B45" w:rsidRDefault="00157630" w:rsidP="00157630">
            <w:pPr>
              <w:tabs>
                <w:tab w:val="left" w:pos="1350"/>
              </w:tabs>
              <w:rPr>
                <w:rFonts w:cstheme="minorHAnsi"/>
                <w:b/>
                <w:bCs/>
              </w:rPr>
            </w:pPr>
          </w:p>
        </w:tc>
        <w:tc>
          <w:tcPr>
            <w:tcW w:w="3600" w:type="dxa"/>
          </w:tcPr>
          <w:p w14:paraId="102912F5" w14:textId="03D72D0D" w:rsidR="00157630" w:rsidRPr="00C74C0F" w:rsidRDefault="00C471C5" w:rsidP="00157630">
            <w:pPr>
              <w:tabs>
                <w:tab w:val="left" w:pos="1350"/>
              </w:tabs>
              <w:rPr>
                <w:rFonts w:cstheme="minorHAnsi"/>
                <w:highlight w:val="yellow"/>
              </w:rPr>
            </w:pPr>
            <w:r w:rsidRPr="00884204">
              <w:rPr>
                <w:rFonts w:cstheme="minorHAnsi"/>
              </w:rPr>
              <w:t>MTH 126</w:t>
            </w:r>
          </w:p>
        </w:tc>
        <w:tc>
          <w:tcPr>
            <w:tcW w:w="3780" w:type="dxa"/>
          </w:tcPr>
          <w:p w14:paraId="12C90425" w14:textId="059F1736" w:rsidR="00157630" w:rsidRPr="00306B45" w:rsidRDefault="00157630" w:rsidP="00157630">
            <w:pPr>
              <w:tabs>
                <w:tab w:val="left" w:pos="1350"/>
              </w:tabs>
              <w:rPr>
                <w:rFonts w:cstheme="minorHAnsi"/>
              </w:rPr>
            </w:pPr>
            <w:r w:rsidRPr="00D758B7">
              <w:rPr>
                <w:rFonts w:cstheme="minorHAnsi"/>
              </w:rPr>
              <w:t>MATH 171-</w:t>
            </w:r>
            <w:r>
              <w:rPr>
                <w:rFonts w:cstheme="minorHAnsi"/>
              </w:rPr>
              <w:t>4</w:t>
            </w:r>
          </w:p>
        </w:tc>
      </w:tr>
      <w:tr w:rsidR="00157630" w:rsidRPr="00306B45" w14:paraId="5780C5A4" w14:textId="77777777" w:rsidTr="007E70C1">
        <w:trPr>
          <w:trHeight w:val="602"/>
        </w:trPr>
        <w:tc>
          <w:tcPr>
            <w:tcW w:w="3600" w:type="dxa"/>
            <w:vMerge w:val="restart"/>
          </w:tcPr>
          <w:p w14:paraId="02B2AB2F" w14:textId="34B7208D" w:rsidR="00157630" w:rsidRPr="00306B45" w:rsidRDefault="00157630" w:rsidP="00157630">
            <w:pPr>
              <w:tabs>
                <w:tab w:val="left" w:pos="1350"/>
              </w:tabs>
              <w:rPr>
                <w:rFonts w:cstheme="minorHAnsi"/>
                <w:b/>
                <w:bCs/>
              </w:rPr>
            </w:pPr>
            <w:bookmarkStart w:id="3" w:name="_Hlk94199587"/>
            <w:r>
              <w:rPr>
                <w:rFonts w:cstheme="minorHAnsi"/>
                <w:b/>
                <w:bCs/>
              </w:rPr>
              <w:t>Fine Arts &amp; Humanities*</w:t>
            </w:r>
          </w:p>
          <w:p w14:paraId="5285EFB8" w14:textId="4AD6069E"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CF0B87">
              <w:rPr>
                <w:rFonts w:cstheme="minorHAnsi"/>
                <w:i/>
                <w:iCs/>
                <w:sz w:val="20"/>
                <w:szCs w:val="20"/>
              </w:rPr>
              <w:t>SS</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 xml:space="preserve">. </w:t>
            </w:r>
          </w:p>
          <w:p w14:paraId="78629842" w14:textId="77777777" w:rsidR="00157630" w:rsidRDefault="00157630" w:rsidP="00157630">
            <w:pPr>
              <w:tabs>
                <w:tab w:val="left" w:pos="1350"/>
              </w:tabs>
              <w:rPr>
                <w:rFonts w:cstheme="minorHAnsi"/>
                <w:sz w:val="20"/>
                <w:szCs w:val="20"/>
              </w:rPr>
            </w:pPr>
          </w:p>
          <w:p w14:paraId="1B5DEB90" w14:textId="24F43345" w:rsidR="00157630" w:rsidRPr="00306B45" w:rsidRDefault="00CF0B87" w:rsidP="00157630">
            <w:pPr>
              <w:tabs>
                <w:tab w:val="left" w:pos="1350"/>
              </w:tabs>
              <w:rPr>
                <w:rFonts w:cstheme="minorHAnsi"/>
                <w:b/>
                <w:bCs/>
                <w:sz w:val="20"/>
                <w:szCs w:val="20"/>
              </w:rPr>
            </w:pPr>
            <w:r>
              <w:rPr>
                <w:rFonts w:cstheme="minorHAnsi"/>
                <w:b/>
                <w:bCs/>
                <w:i/>
                <w:iCs/>
                <w:sz w:val="20"/>
                <w:szCs w:val="20"/>
              </w:rPr>
              <w:t>S</w:t>
            </w:r>
            <w:r w:rsidR="00157630">
              <w:rPr>
                <w:rFonts w:cstheme="minorHAnsi"/>
                <w:b/>
                <w:bCs/>
                <w:i/>
                <w:iCs/>
                <w:sz w:val="20"/>
                <w:szCs w:val="20"/>
              </w:rPr>
              <w:t>SC requires an additional Fine Arts &amp; Humanities for gen ed core</w:t>
            </w:r>
          </w:p>
        </w:tc>
        <w:tc>
          <w:tcPr>
            <w:tcW w:w="3600" w:type="dxa"/>
          </w:tcPr>
          <w:p w14:paraId="7D22C3B6" w14:textId="292572AC" w:rsidR="00157630" w:rsidRPr="00306B45" w:rsidRDefault="00157630" w:rsidP="00157630">
            <w:pPr>
              <w:tabs>
                <w:tab w:val="left" w:pos="1350"/>
              </w:tabs>
              <w:rPr>
                <w:rFonts w:cstheme="minorHAnsi"/>
              </w:rPr>
            </w:pPr>
            <w:r w:rsidRPr="00D11FFE">
              <w:rPr>
                <w:rFonts w:cstheme="minorHAnsi"/>
                <w:b/>
                <w:bCs/>
              </w:rPr>
              <w:t>ONE</w:t>
            </w:r>
            <w:r>
              <w:rPr>
                <w:rFonts w:cstheme="minorHAnsi"/>
              </w:rPr>
              <w:t>: ART 101</w:t>
            </w:r>
            <w:r w:rsidR="00884204">
              <w:rPr>
                <w:rFonts w:cstheme="minorHAnsi"/>
              </w:rPr>
              <w:t>-104</w:t>
            </w:r>
            <w:r>
              <w:rPr>
                <w:rFonts w:cstheme="minorHAnsi"/>
              </w:rPr>
              <w:t xml:space="preserve"> or MUS</w:t>
            </w:r>
            <w:r w:rsidR="00884204">
              <w:rPr>
                <w:rFonts w:cstheme="minorHAnsi"/>
              </w:rPr>
              <w:t xml:space="preserve"> </w:t>
            </w:r>
            <w:r>
              <w:rPr>
                <w:rFonts w:cstheme="minorHAnsi"/>
              </w:rPr>
              <w:t>10</w:t>
            </w:r>
            <w:r w:rsidR="00884204">
              <w:rPr>
                <w:rFonts w:cstheme="minorHAnsi"/>
              </w:rPr>
              <w:t>5-116</w:t>
            </w:r>
            <w:r>
              <w:rPr>
                <w:rFonts w:cstheme="minorHAnsi"/>
              </w:rPr>
              <w:t xml:space="preserve"> </w:t>
            </w:r>
          </w:p>
        </w:tc>
        <w:tc>
          <w:tcPr>
            <w:tcW w:w="3780" w:type="dxa"/>
          </w:tcPr>
          <w:p w14:paraId="39BB0A23" w14:textId="03F1A36E" w:rsidR="00157630" w:rsidRPr="00306B45" w:rsidRDefault="00157630" w:rsidP="00157630">
            <w:pPr>
              <w:tabs>
                <w:tab w:val="left" w:pos="1350"/>
              </w:tabs>
              <w:rPr>
                <w:rFonts w:cstheme="minorHAnsi"/>
              </w:rPr>
            </w:pPr>
            <w:r>
              <w:rPr>
                <w:rFonts w:cstheme="minorHAnsi"/>
              </w:rPr>
              <w:t xml:space="preserve">ARTS 100-3 </w:t>
            </w:r>
          </w:p>
        </w:tc>
      </w:tr>
      <w:tr w:rsidR="00157630" w:rsidRPr="00306B45" w14:paraId="1938583F" w14:textId="77777777" w:rsidTr="007E70C1">
        <w:trPr>
          <w:trHeight w:val="292"/>
        </w:trPr>
        <w:tc>
          <w:tcPr>
            <w:tcW w:w="3600" w:type="dxa"/>
            <w:vMerge/>
          </w:tcPr>
          <w:p w14:paraId="022B181F" w14:textId="77777777" w:rsidR="00157630" w:rsidRPr="00306B45" w:rsidRDefault="00157630" w:rsidP="00157630">
            <w:pPr>
              <w:tabs>
                <w:tab w:val="left" w:pos="1350"/>
              </w:tabs>
              <w:rPr>
                <w:rFonts w:cstheme="minorHAnsi"/>
                <w:b/>
                <w:bCs/>
              </w:rPr>
            </w:pPr>
          </w:p>
        </w:tc>
        <w:tc>
          <w:tcPr>
            <w:tcW w:w="3600" w:type="dxa"/>
          </w:tcPr>
          <w:p w14:paraId="4A49142F" w14:textId="4A92475B" w:rsidR="00157630" w:rsidRPr="00306B45" w:rsidRDefault="00157630" w:rsidP="00157630">
            <w:pPr>
              <w:tabs>
                <w:tab w:val="left" w:pos="1350"/>
              </w:tabs>
              <w:rPr>
                <w:rFonts w:cstheme="minorHAnsi"/>
              </w:rPr>
            </w:pPr>
            <w:r>
              <w:rPr>
                <w:rFonts w:cstheme="minorHAnsi"/>
              </w:rPr>
              <w:t>PH</w:t>
            </w:r>
            <w:r w:rsidR="00884204">
              <w:rPr>
                <w:rFonts w:cstheme="minorHAnsi"/>
              </w:rPr>
              <w:t>L 101-PHL 105</w:t>
            </w:r>
          </w:p>
        </w:tc>
        <w:tc>
          <w:tcPr>
            <w:tcW w:w="3780" w:type="dxa"/>
          </w:tcPr>
          <w:p w14:paraId="70982E62" w14:textId="6E7F32D3" w:rsidR="00157630" w:rsidRPr="00306B45" w:rsidRDefault="00157630" w:rsidP="00157630">
            <w:pPr>
              <w:tabs>
                <w:tab w:val="left" w:pos="1350"/>
              </w:tabs>
              <w:rPr>
                <w:rFonts w:cstheme="minorHAnsi"/>
              </w:rPr>
            </w:pPr>
            <w:r w:rsidRPr="00D758B7">
              <w:rPr>
                <w:rFonts w:cstheme="minorHAnsi"/>
              </w:rPr>
              <w:t>PHIL 200-3</w:t>
            </w:r>
            <w:r>
              <w:rPr>
                <w:rFonts w:cstheme="minorHAnsi"/>
              </w:rPr>
              <w:t xml:space="preserve"> </w:t>
            </w:r>
          </w:p>
        </w:tc>
      </w:tr>
      <w:tr w:rsidR="00157630" w:rsidRPr="00306B45" w14:paraId="132544D3" w14:textId="77777777" w:rsidTr="007E70C1">
        <w:trPr>
          <w:trHeight w:val="288"/>
        </w:trPr>
        <w:tc>
          <w:tcPr>
            <w:tcW w:w="3600" w:type="dxa"/>
            <w:vMerge/>
          </w:tcPr>
          <w:p w14:paraId="7FACE85E"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275B6B17" w14:textId="4BBDDB8E" w:rsidR="00157630" w:rsidRPr="007937CC" w:rsidRDefault="00157630" w:rsidP="0015763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sidR="00CF0B87">
              <w:rPr>
                <w:rFonts w:cstheme="minorHAnsi"/>
                <w:i/>
                <w:iCs/>
              </w:rPr>
              <w:t>S</w:t>
            </w:r>
            <w:r>
              <w:rPr>
                <w:rFonts w:cstheme="minorHAnsi"/>
                <w:i/>
                <w:iCs/>
              </w:rPr>
              <w:t>S</w:t>
            </w:r>
            <w:r w:rsidRPr="007937CC">
              <w:rPr>
                <w:rFonts w:cstheme="minorHAnsi"/>
                <w:i/>
                <w:iCs/>
              </w:rPr>
              <w:t>C options</w:t>
            </w:r>
          </w:p>
        </w:tc>
        <w:tc>
          <w:tcPr>
            <w:tcW w:w="3780" w:type="dxa"/>
            <w:shd w:val="clear" w:color="auto" w:fill="FFFFFF" w:themeFill="background1"/>
          </w:tcPr>
          <w:p w14:paraId="79281E74" w14:textId="2DCB55F5" w:rsidR="00157630" w:rsidRPr="007937CC" w:rsidRDefault="00157630" w:rsidP="00157630">
            <w:pPr>
              <w:tabs>
                <w:tab w:val="left" w:pos="1350"/>
              </w:tabs>
              <w:rPr>
                <w:rFonts w:cstheme="minorHAnsi"/>
                <w:i/>
                <w:iCs/>
              </w:rPr>
            </w:pPr>
            <w:r w:rsidRPr="007937CC">
              <w:rPr>
                <w:rFonts w:cstheme="minorHAnsi"/>
                <w:i/>
                <w:iCs/>
              </w:rPr>
              <w:t>elective hours</w:t>
            </w:r>
          </w:p>
        </w:tc>
      </w:tr>
      <w:bookmarkEnd w:id="3"/>
      <w:tr w:rsidR="00157630" w:rsidRPr="00306B45" w14:paraId="1BA5726A" w14:textId="77777777" w:rsidTr="007E70C1">
        <w:trPr>
          <w:trHeight w:val="288"/>
        </w:trPr>
        <w:tc>
          <w:tcPr>
            <w:tcW w:w="3600" w:type="dxa"/>
            <w:vMerge w:val="restart"/>
          </w:tcPr>
          <w:p w14:paraId="2F63F5B6" w14:textId="70688CA3" w:rsidR="00157630" w:rsidRPr="00306B45" w:rsidRDefault="00157630" w:rsidP="0015763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519469BF" w:rsidR="00157630" w:rsidRDefault="00157630" w:rsidP="0015763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sidR="00B94F4E">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sidR="00CF0B87">
              <w:rPr>
                <w:rFonts w:cstheme="minorHAnsi"/>
                <w:i/>
                <w:iCs/>
                <w:sz w:val="20"/>
                <w:szCs w:val="20"/>
              </w:rPr>
              <w:t>S</w:t>
            </w:r>
            <w:r>
              <w:rPr>
                <w:rFonts w:cstheme="minorHAnsi"/>
                <w:i/>
                <w:iCs/>
                <w:sz w:val="20"/>
                <w:szCs w:val="20"/>
              </w:rPr>
              <w:t>SC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sidR="00CF0B87">
              <w:rPr>
                <w:rFonts w:cstheme="minorHAnsi"/>
                <w:i/>
                <w:iCs/>
                <w:sz w:val="20"/>
                <w:szCs w:val="20"/>
              </w:rPr>
              <w:t>S</w:t>
            </w:r>
            <w:r>
              <w:rPr>
                <w:rFonts w:cstheme="minorHAnsi"/>
                <w:i/>
                <w:iCs/>
                <w:sz w:val="20"/>
                <w:szCs w:val="20"/>
              </w:rPr>
              <w:t xml:space="preserve">SC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157630" w:rsidRDefault="00157630" w:rsidP="00157630">
            <w:pPr>
              <w:tabs>
                <w:tab w:val="left" w:pos="1350"/>
              </w:tabs>
              <w:rPr>
                <w:rFonts w:cstheme="minorHAnsi"/>
                <w:b/>
                <w:bCs/>
                <w:i/>
                <w:iCs/>
                <w:sz w:val="20"/>
                <w:szCs w:val="20"/>
              </w:rPr>
            </w:pPr>
          </w:p>
          <w:p w14:paraId="28D60130" w14:textId="1AABA044" w:rsidR="00157630" w:rsidRPr="00306B45" w:rsidRDefault="00CF0B87" w:rsidP="00157630">
            <w:pPr>
              <w:tabs>
                <w:tab w:val="left" w:pos="1350"/>
              </w:tabs>
              <w:rPr>
                <w:rFonts w:cstheme="minorHAnsi"/>
                <w:b/>
                <w:bCs/>
                <w:i/>
                <w:iCs/>
                <w:sz w:val="20"/>
                <w:szCs w:val="20"/>
              </w:rPr>
            </w:pPr>
            <w:r>
              <w:rPr>
                <w:rFonts w:cstheme="minorHAnsi"/>
                <w:b/>
                <w:bCs/>
                <w:i/>
                <w:iCs/>
                <w:sz w:val="20"/>
                <w:szCs w:val="20"/>
              </w:rPr>
              <w:t>S</w:t>
            </w:r>
            <w:r w:rsidR="00B94F4E">
              <w:rPr>
                <w:rFonts w:cstheme="minorHAnsi"/>
                <w:b/>
                <w:bCs/>
                <w:i/>
                <w:iCs/>
                <w:sz w:val="20"/>
                <w:szCs w:val="20"/>
              </w:rPr>
              <w:t>S</w:t>
            </w:r>
            <w:r w:rsidR="00157630">
              <w:rPr>
                <w:rFonts w:cstheme="minorHAnsi"/>
                <w:b/>
                <w:bCs/>
                <w:i/>
                <w:iCs/>
                <w:sz w:val="20"/>
                <w:szCs w:val="20"/>
              </w:rPr>
              <w:t>C requires an additional Social &amp; Behavioral Science for gen ed core</w:t>
            </w:r>
          </w:p>
        </w:tc>
        <w:tc>
          <w:tcPr>
            <w:tcW w:w="3600" w:type="dxa"/>
          </w:tcPr>
          <w:p w14:paraId="34F85F83" w14:textId="20A580FA" w:rsidR="00157630" w:rsidRPr="00A00161" w:rsidRDefault="00157630" w:rsidP="00157630">
            <w:pPr>
              <w:tabs>
                <w:tab w:val="left" w:pos="1350"/>
              </w:tabs>
              <w:rPr>
                <w:rFonts w:cstheme="minorHAnsi"/>
              </w:rPr>
            </w:pPr>
            <w:r w:rsidRPr="00A00161">
              <w:rPr>
                <w:rFonts w:cstheme="minorHAnsi"/>
              </w:rPr>
              <w:t>ECO</w:t>
            </w:r>
            <w:r w:rsidR="00884204">
              <w:rPr>
                <w:rFonts w:cstheme="minorHAnsi"/>
              </w:rPr>
              <w:t xml:space="preserve"> 201 or ECO 202</w:t>
            </w:r>
          </w:p>
        </w:tc>
        <w:tc>
          <w:tcPr>
            <w:tcW w:w="3780" w:type="dxa"/>
          </w:tcPr>
          <w:p w14:paraId="3774EC99" w14:textId="4E8A3418" w:rsidR="00157630" w:rsidRPr="00A00161" w:rsidRDefault="00157630" w:rsidP="00157630">
            <w:pPr>
              <w:tabs>
                <w:tab w:val="left" w:pos="1350"/>
              </w:tabs>
              <w:rPr>
                <w:rFonts w:cstheme="minorHAnsi"/>
              </w:rPr>
            </w:pPr>
            <w:r w:rsidRPr="00A00161">
              <w:rPr>
                <w:rFonts w:cstheme="minorHAnsi"/>
              </w:rPr>
              <w:t xml:space="preserve">ECON 160-3 </w:t>
            </w:r>
          </w:p>
        </w:tc>
      </w:tr>
      <w:tr w:rsidR="00157630" w:rsidRPr="00306B45" w14:paraId="2D36151C" w14:textId="77777777" w:rsidTr="007E70C1">
        <w:trPr>
          <w:trHeight w:val="288"/>
        </w:trPr>
        <w:tc>
          <w:tcPr>
            <w:tcW w:w="3600" w:type="dxa"/>
            <w:vMerge/>
          </w:tcPr>
          <w:p w14:paraId="35231544" w14:textId="77777777" w:rsidR="00157630" w:rsidRPr="00306B45" w:rsidRDefault="00157630" w:rsidP="00157630">
            <w:pPr>
              <w:tabs>
                <w:tab w:val="left" w:pos="1350"/>
              </w:tabs>
              <w:rPr>
                <w:rFonts w:cstheme="minorHAnsi"/>
                <w:b/>
                <w:bCs/>
              </w:rPr>
            </w:pPr>
          </w:p>
        </w:tc>
        <w:tc>
          <w:tcPr>
            <w:tcW w:w="3600" w:type="dxa"/>
          </w:tcPr>
          <w:p w14:paraId="1DF3937E" w14:textId="5172F7F0" w:rsidR="00157630" w:rsidRPr="00A00161" w:rsidRDefault="00157630" w:rsidP="00157630">
            <w:pPr>
              <w:tabs>
                <w:tab w:val="left" w:pos="1350"/>
              </w:tabs>
              <w:rPr>
                <w:rFonts w:cstheme="minorHAnsi"/>
              </w:rPr>
            </w:pPr>
            <w:r>
              <w:rPr>
                <w:rFonts w:cstheme="minorHAnsi"/>
              </w:rPr>
              <w:t>HIS</w:t>
            </w:r>
            <w:r w:rsidR="00884204">
              <w:rPr>
                <w:rFonts w:cstheme="minorHAnsi"/>
              </w:rPr>
              <w:t xml:space="preserve"> 110 </w:t>
            </w:r>
            <w:proofErr w:type="gramStart"/>
            <w:r w:rsidR="00884204">
              <w:rPr>
                <w:rFonts w:cstheme="minorHAnsi"/>
              </w:rPr>
              <w:t>or</w:t>
            </w:r>
            <w:r w:rsidRPr="00A00161">
              <w:rPr>
                <w:rFonts w:cstheme="minorHAnsi"/>
              </w:rPr>
              <w:t xml:space="preserve"> </w:t>
            </w:r>
            <w:r w:rsidR="00884204">
              <w:rPr>
                <w:rFonts w:cstheme="minorHAnsi"/>
              </w:rPr>
              <w:t xml:space="preserve"> HIS</w:t>
            </w:r>
            <w:proofErr w:type="gramEnd"/>
            <w:r w:rsidR="00884204">
              <w:rPr>
                <w:rFonts w:cstheme="minorHAnsi"/>
              </w:rPr>
              <w:t xml:space="preserve"> 115</w:t>
            </w:r>
          </w:p>
        </w:tc>
        <w:tc>
          <w:tcPr>
            <w:tcW w:w="3780" w:type="dxa"/>
          </w:tcPr>
          <w:p w14:paraId="246E0EAF" w14:textId="506F1728" w:rsidR="00157630" w:rsidRPr="00A00161" w:rsidRDefault="00157630" w:rsidP="00157630">
            <w:pPr>
              <w:tabs>
                <w:tab w:val="left" w:pos="1350"/>
              </w:tabs>
              <w:rPr>
                <w:rFonts w:cstheme="minorHAnsi"/>
              </w:rPr>
            </w:pPr>
            <w:r w:rsidRPr="00A00161">
              <w:rPr>
                <w:rFonts w:cstheme="minorHAnsi"/>
              </w:rPr>
              <w:t>HIST 110</w:t>
            </w:r>
            <w:r>
              <w:rPr>
                <w:rFonts w:cstheme="minorHAnsi"/>
              </w:rPr>
              <w:t>-3</w:t>
            </w:r>
          </w:p>
        </w:tc>
      </w:tr>
      <w:tr w:rsidR="00157630" w:rsidRPr="00306B45" w14:paraId="018EFCE2" w14:textId="77777777" w:rsidTr="007E70C1">
        <w:trPr>
          <w:trHeight w:val="288"/>
        </w:trPr>
        <w:tc>
          <w:tcPr>
            <w:tcW w:w="3600" w:type="dxa"/>
            <w:vMerge/>
          </w:tcPr>
          <w:p w14:paraId="6AB5507D" w14:textId="77777777" w:rsidR="00157630" w:rsidRPr="00306B45" w:rsidRDefault="00157630" w:rsidP="00157630">
            <w:pPr>
              <w:tabs>
                <w:tab w:val="left" w:pos="1350"/>
              </w:tabs>
              <w:rPr>
                <w:rFonts w:cstheme="minorHAnsi"/>
                <w:b/>
                <w:bCs/>
              </w:rPr>
            </w:pPr>
          </w:p>
        </w:tc>
        <w:tc>
          <w:tcPr>
            <w:tcW w:w="3600" w:type="dxa"/>
          </w:tcPr>
          <w:p w14:paraId="48DDC9BD" w14:textId="67D540B3" w:rsidR="00157630" w:rsidRPr="00A00161" w:rsidRDefault="00157630" w:rsidP="00157630">
            <w:pPr>
              <w:tabs>
                <w:tab w:val="left" w:pos="1350"/>
              </w:tabs>
              <w:rPr>
                <w:rFonts w:cstheme="minorHAnsi"/>
              </w:rPr>
            </w:pPr>
            <w:r w:rsidRPr="00A00161">
              <w:rPr>
                <w:rFonts w:cstheme="minorHAnsi"/>
              </w:rPr>
              <w:t>PSY</w:t>
            </w:r>
            <w:r w:rsidR="00884204">
              <w:rPr>
                <w:rFonts w:cstheme="minorHAnsi"/>
              </w:rPr>
              <w:t xml:space="preserve"> 101</w:t>
            </w:r>
          </w:p>
        </w:tc>
        <w:tc>
          <w:tcPr>
            <w:tcW w:w="3780" w:type="dxa"/>
          </w:tcPr>
          <w:p w14:paraId="7F913AF0" w14:textId="7C52D613" w:rsidR="00157630" w:rsidRPr="00A00161" w:rsidRDefault="00157630" w:rsidP="0015763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157630" w:rsidRPr="00306B45" w14:paraId="602D82ED" w14:textId="77777777" w:rsidTr="007E70C1">
        <w:trPr>
          <w:trHeight w:val="288"/>
        </w:trPr>
        <w:tc>
          <w:tcPr>
            <w:tcW w:w="3600" w:type="dxa"/>
            <w:vMerge/>
          </w:tcPr>
          <w:p w14:paraId="65880898" w14:textId="77777777" w:rsidR="00157630" w:rsidRPr="00306B45" w:rsidRDefault="00157630" w:rsidP="00157630">
            <w:pPr>
              <w:tabs>
                <w:tab w:val="left" w:pos="1350"/>
              </w:tabs>
              <w:rPr>
                <w:rFonts w:cstheme="minorHAnsi"/>
                <w:b/>
                <w:bCs/>
              </w:rPr>
            </w:pPr>
          </w:p>
        </w:tc>
        <w:tc>
          <w:tcPr>
            <w:tcW w:w="3600" w:type="dxa"/>
          </w:tcPr>
          <w:p w14:paraId="2EBEACA7" w14:textId="5AEBDCF5" w:rsidR="00157630" w:rsidRPr="00A00161" w:rsidRDefault="00157630" w:rsidP="00157630">
            <w:pPr>
              <w:tabs>
                <w:tab w:val="left" w:pos="1350"/>
              </w:tabs>
              <w:rPr>
                <w:rFonts w:cstheme="minorHAnsi"/>
              </w:rPr>
            </w:pPr>
            <w:r w:rsidRPr="00A00161">
              <w:rPr>
                <w:rFonts w:cstheme="minorHAnsi"/>
              </w:rPr>
              <w:t>SO</w:t>
            </w:r>
            <w:r>
              <w:rPr>
                <w:rFonts w:cstheme="minorHAnsi"/>
              </w:rPr>
              <w:t>C</w:t>
            </w:r>
            <w:r w:rsidR="00884204">
              <w:rPr>
                <w:rFonts w:cstheme="minorHAnsi"/>
              </w:rPr>
              <w:t xml:space="preserve"> 101 or SOC 102</w:t>
            </w:r>
          </w:p>
        </w:tc>
        <w:tc>
          <w:tcPr>
            <w:tcW w:w="3780" w:type="dxa"/>
          </w:tcPr>
          <w:p w14:paraId="63F24427" w14:textId="38C31BF9" w:rsidR="00157630" w:rsidRPr="00A00161" w:rsidRDefault="00157630" w:rsidP="00157630">
            <w:pPr>
              <w:tabs>
                <w:tab w:val="left" w:pos="1350"/>
              </w:tabs>
              <w:rPr>
                <w:rFonts w:cstheme="minorHAnsi"/>
              </w:rPr>
            </w:pPr>
            <w:r w:rsidRPr="00A00161">
              <w:rPr>
                <w:rFonts w:cstheme="minorHAnsi"/>
              </w:rPr>
              <w:t>SOCL 210-3</w:t>
            </w:r>
            <w:r w:rsidRPr="00A00161">
              <w:t xml:space="preserve"> </w:t>
            </w:r>
          </w:p>
        </w:tc>
      </w:tr>
      <w:tr w:rsidR="00157630" w:rsidRPr="00306B45" w14:paraId="067C1E83" w14:textId="77777777" w:rsidTr="007E70C1">
        <w:trPr>
          <w:trHeight w:val="288"/>
        </w:trPr>
        <w:tc>
          <w:tcPr>
            <w:tcW w:w="3600" w:type="dxa"/>
            <w:vMerge/>
          </w:tcPr>
          <w:p w14:paraId="2AF7D257" w14:textId="77777777" w:rsidR="00157630" w:rsidRDefault="00157630" w:rsidP="00157630">
            <w:pPr>
              <w:tabs>
                <w:tab w:val="left" w:pos="1350"/>
              </w:tabs>
              <w:rPr>
                <w:rFonts w:cstheme="minorHAnsi"/>
                <w:b/>
                <w:bCs/>
              </w:rPr>
            </w:pPr>
          </w:p>
        </w:tc>
        <w:tc>
          <w:tcPr>
            <w:tcW w:w="3600" w:type="dxa"/>
            <w:shd w:val="clear" w:color="auto" w:fill="FFFFFF" w:themeFill="background1"/>
          </w:tcPr>
          <w:p w14:paraId="004D0D28" w14:textId="127978D4" w:rsidR="00157630" w:rsidRPr="007937CC" w:rsidRDefault="00157630" w:rsidP="0015763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sidR="00CF0B87">
              <w:rPr>
                <w:rFonts w:cstheme="minorHAnsi"/>
                <w:i/>
                <w:iCs/>
              </w:rPr>
              <w:t>S</w:t>
            </w:r>
            <w:r>
              <w:rPr>
                <w:rFonts w:cstheme="minorHAnsi"/>
                <w:i/>
                <w:iCs/>
              </w:rPr>
              <w:t>S</w:t>
            </w:r>
            <w:r w:rsidRPr="007937CC">
              <w:rPr>
                <w:rFonts w:cstheme="minorHAnsi"/>
                <w:i/>
                <w:iCs/>
              </w:rPr>
              <w:t>C options</w:t>
            </w:r>
          </w:p>
        </w:tc>
        <w:tc>
          <w:tcPr>
            <w:tcW w:w="3780" w:type="dxa"/>
            <w:shd w:val="clear" w:color="auto" w:fill="FFFFFF" w:themeFill="background1"/>
          </w:tcPr>
          <w:p w14:paraId="26FE57D4" w14:textId="514F072C"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306B45" w14:paraId="09AEB213" w14:textId="77777777" w:rsidTr="007E70C1">
        <w:trPr>
          <w:trHeight w:val="288"/>
        </w:trPr>
        <w:tc>
          <w:tcPr>
            <w:tcW w:w="3600" w:type="dxa"/>
            <w:vMerge w:val="restart"/>
          </w:tcPr>
          <w:p w14:paraId="59719670" w14:textId="7E131BE2" w:rsidR="00157630" w:rsidRPr="00306B45" w:rsidRDefault="00157630" w:rsidP="00157630">
            <w:pPr>
              <w:tabs>
                <w:tab w:val="left" w:pos="1350"/>
              </w:tabs>
              <w:rPr>
                <w:rFonts w:cstheme="minorHAnsi"/>
                <w:b/>
                <w:bCs/>
              </w:rPr>
            </w:pPr>
            <w:r>
              <w:rPr>
                <w:rFonts w:cstheme="minorHAnsi"/>
                <w:b/>
                <w:bCs/>
              </w:rPr>
              <w:t>Physical Sciences &amp; Life Sciences</w:t>
            </w:r>
          </w:p>
          <w:p w14:paraId="451D57B3" w14:textId="6036B232"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CF0B87">
              <w:rPr>
                <w:rFonts w:cstheme="minorHAnsi"/>
                <w:i/>
                <w:iCs/>
                <w:sz w:val="20"/>
                <w:szCs w:val="20"/>
              </w:rPr>
              <w:t>S</w:t>
            </w:r>
            <w:r>
              <w:rPr>
                <w:rFonts w:cstheme="minorHAnsi"/>
                <w:i/>
                <w:iCs/>
                <w:sz w:val="20"/>
                <w:szCs w:val="20"/>
              </w:rPr>
              <w:t>SC</w:t>
            </w:r>
            <w:r w:rsidRPr="00306B45">
              <w:rPr>
                <w:rFonts w:cstheme="minorHAnsi"/>
                <w:i/>
                <w:iCs/>
                <w:sz w:val="20"/>
                <w:szCs w:val="20"/>
              </w:rPr>
              <w:t xml:space="preserve"> and CCSJ</w:t>
            </w:r>
            <w:r>
              <w:rPr>
                <w:rFonts w:cstheme="minorHAnsi"/>
                <w:i/>
                <w:iCs/>
                <w:sz w:val="20"/>
                <w:szCs w:val="20"/>
              </w:rPr>
              <w:t>.</w:t>
            </w:r>
          </w:p>
          <w:p w14:paraId="324A027C" w14:textId="77777777" w:rsidR="00157630" w:rsidRDefault="00157630" w:rsidP="00157630">
            <w:pPr>
              <w:tabs>
                <w:tab w:val="left" w:pos="1350"/>
              </w:tabs>
              <w:rPr>
                <w:rFonts w:cstheme="minorHAnsi"/>
                <w:sz w:val="20"/>
                <w:szCs w:val="20"/>
              </w:rPr>
            </w:pPr>
          </w:p>
          <w:p w14:paraId="75A524F2" w14:textId="3609D66B" w:rsidR="00157630" w:rsidRPr="00306B45" w:rsidRDefault="00CF0B87" w:rsidP="00157630">
            <w:pPr>
              <w:tabs>
                <w:tab w:val="left" w:pos="1350"/>
              </w:tabs>
              <w:rPr>
                <w:rFonts w:cstheme="minorHAnsi"/>
                <w:b/>
                <w:bCs/>
                <w:sz w:val="20"/>
                <w:szCs w:val="20"/>
              </w:rPr>
            </w:pPr>
            <w:r>
              <w:rPr>
                <w:rFonts w:cstheme="minorHAnsi"/>
                <w:b/>
                <w:bCs/>
                <w:i/>
                <w:iCs/>
                <w:sz w:val="20"/>
                <w:szCs w:val="20"/>
              </w:rPr>
              <w:t>S</w:t>
            </w:r>
            <w:r w:rsidR="00157630">
              <w:rPr>
                <w:rFonts w:cstheme="minorHAnsi"/>
                <w:b/>
                <w:bCs/>
                <w:i/>
                <w:iCs/>
                <w:sz w:val="20"/>
                <w:szCs w:val="20"/>
              </w:rPr>
              <w:t>SC requires an additional Science for gen ed core</w:t>
            </w:r>
          </w:p>
        </w:tc>
        <w:tc>
          <w:tcPr>
            <w:tcW w:w="3600" w:type="dxa"/>
          </w:tcPr>
          <w:p w14:paraId="5B874515" w14:textId="77993D9A" w:rsidR="00157630" w:rsidRPr="00A00161" w:rsidRDefault="00157630" w:rsidP="00157630">
            <w:pPr>
              <w:tabs>
                <w:tab w:val="left" w:pos="1350"/>
              </w:tabs>
              <w:rPr>
                <w:rFonts w:cstheme="minorHAnsi"/>
              </w:rPr>
            </w:pPr>
            <w:r>
              <w:rPr>
                <w:rFonts w:cstheme="minorHAnsi"/>
              </w:rPr>
              <w:t>BIO</w:t>
            </w:r>
            <w:r w:rsidR="0022106C">
              <w:rPr>
                <w:rFonts w:cstheme="minorHAnsi"/>
              </w:rPr>
              <w:t xml:space="preserve"> 105 or BIO 106</w:t>
            </w:r>
          </w:p>
        </w:tc>
        <w:tc>
          <w:tcPr>
            <w:tcW w:w="3780" w:type="dxa"/>
          </w:tcPr>
          <w:p w14:paraId="6F72297E" w14:textId="3014F507" w:rsidR="00157630" w:rsidRPr="00A00161" w:rsidRDefault="00157630" w:rsidP="00157630">
            <w:pPr>
              <w:tabs>
                <w:tab w:val="left" w:pos="1350"/>
              </w:tabs>
              <w:rPr>
                <w:rFonts w:cstheme="minorHAnsi"/>
              </w:rPr>
            </w:pPr>
            <w:r w:rsidRPr="00A00161">
              <w:rPr>
                <w:rFonts w:cstheme="minorHAnsi"/>
              </w:rPr>
              <w:t xml:space="preserve">BIOL 115-4-5 </w:t>
            </w:r>
          </w:p>
        </w:tc>
      </w:tr>
      <w:tr w:rsidR="00157630" w:rsidRPr="00306B45" w14:paraId="6D089ED9" w14:textId="77777777" w:rsidTr="007E70C1">
        <w:trPr>
          <w:trHeight w:val="288"/>
        </w:trPr>
        <w:tc>
          <w:tcPr>
            <w:tcW w:w="3600" w:type="dxa"/>
            <w:vMerge/>
          </w:tcPr>
          <w:p w14:paraId="0DF23A94" w14:textId="77777777" w:rsidR="00157630" w:rsidRPr="00306B45" w:rsidRDefault="00157630" w:rsidP="00157630">
            <w:pPr>
              <w:tabs>
                <w:tab w:val="left" w:pos="1350"/>
              </w:tabs>
              <w:rPr>
                <w:rFonts w:cstheme="minorHAnsi"/>
                <w:b/>
                <w:bCs/>
              </w:rPr>
            </w:pPr>
          </w:p>
        </w:tc>
        <w:tc>
          <w:tcPr>
            <w:tcW w:w="3600" w:type="dxa"/>
          </w:tcPr>
          <w:p w14:paraId="20BDF1AC" w14:textId="64D0806B" w:rsidR="00157630" w:rsidRPr="003C43A4" w:rsidRDefault="00157630" w:rsidP="00157630">
            <w:pPr>
              <w:tabs>
                <w:tab w:val="left" w:pos="1350"/>
              </w:tabs>
              <w:rPr>
                <w:rFonts w:cstheme="minorHAnsi"/>
              </w:rPr>
            </w:pPr>
            <w:r w:rsidRPr="003C43A4">
              <w:rPr>
                <w:rFonts w:cstheme="minorHAnsi"/>
              </w:rPr>
              <w:t>CH</w:t>
            </w:r>
            <w:r w:rsidR="00884204">
              <w:rPr>
                <w:rFonts w:cstheme="minorHAnsi"/>
              </w:rPr>
              <w:t>M 11</w:t>
            </w:r>
            <w:r w:rsidR="0022106C">
              <w:rPr>
                <w:rFonts w:cstheme="minorHAnsi"/>
              </w:rPr>
              <w:t>3</w:t>
            </w:r>
            <w:r>
              <w:rPr>
                <w:rFonts w:cstheme="minorHAnsi"/>
              </w:rPr>
              <w:t xml:space="preserve"> or CHM </w:t>
            </w:r>
            <w:r w:rsidR="00884204">
              <w:rPr>
                <w:rFonts w:cstheme="minorHAnsi"/>
              </w:rPr>
              <w:t>11</w:t>
            </w:r>
            <w:r w:rsidR="0022106C">
              <w:rPr>
                <w:rFonts w:cstheme="minorHAnsi"/>
              </w:rPr>
              <w:t>4</w:t>
            </w:r>
          </w:p>
        </w:tc>
        <w:tc>
          <w:tcPr>
            <w:tcW w:w="3780" w:type="dxa"/>
          </w:tcPr>
          <w:p w14:paraId="31ED05EA" w14:textId="005FD1C8" w:rsidR="00157630" w:rsidRPr="003C43A4" w:rsidRDefault="00157630" w:rsidP="00157630">
            <w:pPr>
              <w:tabs>
                <w:tab w:val="left" w:pos="1350"/>
              </w:tabs>
              <w:rPr>
                <w:rFonts w:cstheme="minorHAnsi"/>
              </w:rPr>
            </w:pPr>
            <w:r w:rsidRPr="003C43A4">
              <w:rPr>
                <w:rFonts w:cstheme="minorHAnsi"/>
              </w:rPr>
              <w:t xml:space="preserve">CHEM 200-4-5 </w:t>
            </w:r>
          </w:p>
        </w:tc>
      </w:tr>
      <w:tr w:rsidR="00157630" w:rsidRPr="00306B45" w14:paraId="50CDAFD1" w14:textId="77777777" w:rsidTr="007E70C1">
        <w:trPr>
          <w:trHeight w:val="288"/>
        </w:trPr>
        <w:tc>
          <w:tcPr>
            <w:tcW w:w="3600" w:type="dxa"/>
            <w:vMerge/>
          </w:tcPr>
          <w:p w14:paraId="7EC2D78D" w14:textId="77777777" w:rsidR="00157630" w:rsidRPr="00306B45" w:rsidRDefault="00157630" w:rsidP="00157630">
            <w:pPr>
              <w:tabs>
                <w:tab w:val="left" w:pos="1350"/>
              </w:tabs>
              <w:rPr>
                <w:rFonts w:cstheme="minorHAnsi"/>
                <w:b/>
                <w:bCs/>
              </w:rPr>
            </w:pPr>
          </w:p>
        </w:tc>
        <w:tc>
          <w:tcPr>
            <w:tcW w:w="3600" w:type="dxa"/>
          </w:tcPr>
          <w:p w14:paraId="13D42BA5" w14:textId="292FB1C6" w:rsidR="00157630" w:rsidRPr="003C43A4" w:rsidRDefault="00157630" w:rsidP="00157630">
            <w:pPr>
              <w:tabs>
                <w:tab w:val="left" w:pos="1350"/>
              </w:tabs>
              <w:rPr>
                <w:rFonts w:cstheme="minorHAnsi"/>
              </w:rPr>
            </w:pPr>
            <w:r>
              <w:rPr>
                <w:rFonts w:cstheme="minorHAnsi"/>
              </w:rPr>
              <w:t>GE</w:t>
            </w:r>
            <w:r w:rsidR="00884204">
              <w:rPr>
                <w:rFonts w:cstheme="minorHAnsi"/>
              </w:rPr>
              <w:t>O 103 or GEO 104</w:t>
            </w:r>
          </w:p>
        </w:tc>
        <w:tc>
          <w:tcPr>
            <w:tcW w:w="3780" w:type="dxa"/>
          </w:tcPr>
          <w:p w14:paraId="4D9B1050" w14:textId="477175B7" w:rsidR="00157630" w:rsidRPr="003C43A4" w:rsidRDefault="00157630" w:rsidP="00157630">
            <w:pPr>
              <w:tabs>
                <w:tab w:val="left" w:pos="1350"/>
              </w:tabs>
              <w:rPr>
                <w:rFonts w:cstheme="minorHAnsi"/>
              </w:rPr>
            </w:pPr>
            <w:r w:rsidRPr="003C43A4">
              <w:rPr>
                <w:rFonts w:cstheme="minorHAnsi"/>
              </w:rPr>
              <w:t xml:space="preserve">GEOL 110-4 </w:t>
            </w:r>
          </w:p>
        </w:tc>
      </w:tr>
      <w:tr w:rsidR="00157630" w:rsidRPr="00306B45" w14:paraId="63849F32" w14:textId="77777777" w:rsidTr="007E70C1">
        <w:trPr>
          <w:trHeight w:val="288"/>
        </w:trPr>
        <w:tc>
          <w:tcPr>
            <w:tcW w:w="3600" w:type="dxa"/>
            <w:vMerge/>
          </w:tcPr>
          <w:p w14:paraId="7DDECE32"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67995C3B" w14:textId="15D87B19" w:rsidR="00157630" w:rsidRPr="007937CC" w:rsidRDefault="00157630" w:rsidP="00157630">
            <w:pPr>
              <w:tabs>
                <w:tab w:val="left" w:pos="1350"/>
              </w:tabs>
              <w:rPr>
                <w:rFonts w:cstheme="minorHAnsi"/>
                <w:i/>
                <w:iCs/>
              </w:rPr>
            </w:pPr>
            <w:r w:rsidRPr="007937CC">
              <w:rPr>
                <w:rFonts w:cstheme="minorHAnsi"/>
                <w:i/>
                <w:iCs/>
              </w:rPr>
              <w:t xml:space="preserve">additional Science from </w:t>
            </w:r>
            <w:r w:rsidR="00CF0B87">
              <w:rPr>
                <w:rFonts w:cstheme="minorHAnsi"/>
                <w:i/>
                <w:iCs/>
              </w:rPr>
              <w:t>S</w:t>
            </w:r>
            <w:r>
              <w:rPr>
                <w:rFonts w:cstheme="minorHAnsi"/>
                <w:i/>
                <w:iCs/>
              </w:rPr>
              <w:t>S</w:t>
            </w:r>
            <w:r w:rsidRPr="007937CC">
              <w:rPr>
                <w:rFonts w:cstheme="minorHAnsi"/>
                <w:i/>
                <w:iCs/>
              </w:rPr>
              <w:t>C options</w:t>
            </w:r>
          </w:p>
        </w:tc>
        <w:tc>
          <w:tcPr>
            <w:tcW w:w="3780" w:type="dxa"/>
            <w:shd w:val="clear" w:color="auto" w:fill="FFFFFF" w:themeFill="background1"/>
          </w:tcPr>
          <w:p w14:paraId="01743E3F" w14:textId="19430D42"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82307E" w14:paraId="55DBB659" w14:textId="77777777" w:rsidTr="007E70C1">
        <w:trPr>
          <w:trHeight w:val="422"/>
        </w:trPr>
        <w:tc>
          <w:tcPr>
            <w:tcW w:w="3600" w:type="dxa"/>
          </w:tcPr>
          <w:p w14:paraId="5D3F964A" w14:textId="164507D5" w:rsidR="00157630" w:rsidRPr="00E10036" w:rsidRDefault="00157630" w:rsidP="00157630">
            <w:pPr>
              <w:tabs>
                <w:tab w:val="left" w:pos="1350"/>
              </w:tabs>
              <w:rPr>
                <w:rFonts w:cstheme="minorHAnsi"/>
                <w:b/>
                <w:bCs/>
                <w:i/>
                <w:iCs/>
                <w:sz w:val="20"/>
                <w:szCs w:val="20"/>
              </w:rPr>
            </w:pPr>
            <w:r w:rsidRPr="00306B45">
              <w:rPr>
                <w:rFonts w:cstheme="minorHAnsi"/>
                <w:b/>
                <w:bCs/>
              </w:rPr>
              <w:lastRenderedPageBreak/>
              <w:t>General Education core</w:t>
            </w:r>
            <w:r w:rsidRPr="00306B45">
              <w:rPr>
                <w:rFonts w:cstheme="minorHAnsi"/>
              </w:rPr>
              <w:t xml:space="preserve">  </w:t>
            </w:r>
          </w:p>
        </w:tc>
        <w:tc>
          <w:tcPr>
            <w:tcW w:w="7380" w:type="dxa"/>
            <w:gridSpan w:val="2"/>
          </w:tcPr>
          <w:p w14:paraId="13D7B8DD" w14:textId="07EB0CD0" w:rsidR="00157630" w:rsidRPr="007937CC" w:rsidRDefault="00182892" w:rsidP="00157630">
            <w:pPr>
              <w:tabs>
                <w:tab w:val="left" w:pos="1350"/>
              </w:tabs>
              <w:rPr>
                <w:rFonts w:cstheme="minorHAnsi"/>
                <w:b/>
                <w:bCs/>
                <w:highlight w:val="yellow"/>
              </w:rPr>
            </w:pPr>
            <w:r>
              <w:t xml:space="preserve">REQUIRED A.A. DEGREE PROGRAM TOTAL: 62 Hours * Refer to the </w:t>
            </w:r>
            <w:r w:rsidR="00CF0B87">
              <w:t>S</w:t>
            </w:r>
            <w:r>
              <w:t xml:space="preserve">SC AA/AS guidelines for a list of course choices in Section I. Note: Students are strongly encouraged to complete up to 80 hours at </w:t>
            </w:r>
            <w:r w:rsidR="00CF0B87">
              <w:t>S</w:t>
            </w:r>
            <w:r>
              <w:t xml:space="preserve">SC by taking additional electives which will reduce the </w:t>
            </w:r>
            <w:r w:rsidR="00E72E86">
              <w:t>CCSJ</w:t>
            </w:r>
            <w:r>
              <w:t xml:space="preserve"> Electives. The total will vary depending on the concentration selected for the BA.</w:t>
            </w:r>
          </w:p>
        </w:tc>
      </w:tr>
      <w:tr w:rsidR="00157630" w:rsidRPr="0082307E" w14:paraId="675C8D59" w14:textId="77777777" w:rsidTr="007E70C1">
        <w:tc>
          <w:tcPr>
            <w:tcW w:w="3600" w:type="dxa"/>
          </w:tcPr>
          <w:p w14:paraId="1273D3A2" w14:textId="5A2DA1EF" w:rsidR="00157630" w:rsidRPr="008B557F" w:rsidRDefault="00157630" w:rsidP="00157630">
            <w:pPr>
              <w:tabs>
                <w:tab w:val="left" w:pos="1350"/>
              </w:tabs>
              <w:rPr>
                <w:b/>
                <w:bCs/>
              </w:rPr>
            </w:pPr>
            <w:r>
              <w:br w:type="page"/>
            </w:r>
            <w:r w:rsidRPr="008B557F">
              <w:rPr>
                <w:b/>
                <w:bCs/>
              </w:rPr>
              <w:t>Electives</w:t>
            </w:r>
            <w:r>
              <w:rPr>
                <w:b/>
                <w:bCs/>
              </w:rPr>
              <w:t xml:space="preserve"> at </w:t>
            </w:r>
            <w:r w:rsidR="00CF0B87">
              <w:rPr>
                <w:b/>
                <w:bCs/>
              </w:rPr>
              <w:t>South Suburban</w:t>
            </w:r>
            <w:r>
              <w:rPr>
                <w:b/>
                <w:bCs/>
              </w:rPr>
              <w:t xml:space="preserve"> College</w:t>
            </w:r>
          </w:p>
          <w:p w14:paraId="51F1B761" w14:textId="77777777" w:rsidR="00157630" w:rsidRPr="008B557F" w:rsidRDefault="00157630" w:rsidP="00157630">
            <w:pPr>
              <w:tabs>
                <w:tab w:val="left" w:pos="1350"/>
              </w:tabs>
              <w:rPr>
                <w:b/>
                <w:bCs/>
              </w:rPr>
            </w:pPr>
          </w:p>
        </w:tc>
        <w:tc>
          <w:tcPr>
            <w:tcW w:w="3600" w:type="dxa"/>
            <w:shd w:val="clear" w:color="auto" w:fill="D9D9D9" w:themeFill="background1" w:themeFillShade="D9"/>
          </w:tcPr>
          <w:p w14:paraId="5ACBDD97" w14:textId="495F8438" w:rsidR="00157630" w:rsidRPr="008B557F" w:rsidRDefault="00CF0B87" w:rsidP="00157630">
            <w:pPr>
              <w:tabs>
                <w:tab w:val="left" w:pos="1350"/>
              </w:tabs>
            </w:pPr>
            <w:r>
              <w:t>South Suburban</w:t>
            </w:r>
            <w:r w:rsidR="00157630">
              <w:t xml:space="preserve"> College</w:t>
            </w:r>
            <w:r w:rsidR="00157630" w:rsidRPr="008B557F">
              <w:t xml:space="preserve"> Courses for A</w:t>
            </w:r>
            <w:r w:rsidR="00157630">
              <w:t>A</w:t>
            </w:r>
            <w:r w:rsidR="00157630" w:rsidRPr="008B557F">
              <w:t xml:space="preserve"> </w:t>
            </w:r>
          </w:p>
        </w:tc>
        <w:tc>
          <w:tcPr>
            <w:tcW w:w="3780" w:type="dxa"/>
            <w:shd w:val="clear" w:color="auto" w:fill="D9D9D9" w:themeFill="background1" w:themeFillShade="D9"/>
          </w:tcPr>
          <w:p w14:paraId="69FE99BB" w14:textId="006E3FEC" w:rsidR="00157630" w:rsidRPr="004D4FD9" w:rsidRDefault="00157630" w:rsidP="0015763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E33FF5" w:rsidRPr="0082307E" w14:paraId="2C38E54B" w14:textId="77777777" w:rsidTr="007E70C1">
        <w:trPr>
          <w:trHeight w:val="277"/>
        </w:trPr>
        <w:tc>
          <w:tcPr>
            <w:tcW w:w="3600" w:type="dxa"/>
            <w:vMerge w:val="restart"/>
          </w:tcPr>
          <w:p w14:paraId="64A7772E" w14:textId="34FC2C0D" w:rsidR="00E33FF5" w:rsidRPr="0082307E" w:rsidRDefault="00E33FF5" w:rsidP="00E33FF5">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SSC; up to 66 total hours can transfer to CCSJ. </w:t>
            </w:r>
          </w:p>
          <w:p w14:paraId="572EF5F9" w14:textId="77777777" w:rsidR="00E33FF5" w:rsidRPr="0082307E" w:rsidRDefault="00E33FF5" w:rsidP="00E33FF5">
            <w:pPr>
              <w:tabs>
                <w:tab w:val="left" w:pos="1350"/>
              </w:tabs>
              <w:rPr>
                <w:b/>
                <w:bCs/>
                <w:sz w:val="24"/>
                <w:szCs w:val="24"/>
              </w:rPr>
            </w:pPr>
          </w:p>
          <w:p w14:paraId="082F823F" w14:textId="4F2065C7" w:rsidR="00E33FF5" w:rsidRPr="0082307E" w:rsidRDefault="00E33FF5" w:rsidP="00E33FF5">
            <w:pPr>
              <w:tabs>
                <w:tab w:val="left" w:pos="1350"/>
              </w:tabs>
              <w:rPr>
                <w:b/>
                <w:bCs/>
                <w:sz w:val="30"/>
                <w:szCs w:val="30"/>
              </w:rPr>
            </w:pPr>
          </w:p>
        </w:tc>
        <w:tc>
          <w:tcPr>
            <w:tcW w:w="3600" w:type="dxa"/>
          </w:tcPr>
          <w:p w14:paraId="21A46A6E" w14:textId="4362F090" w:rsidR="00E33FF5" w:rsidRPr="0022106C" w:rsidRDefault="0022106C" w:rsidP="00E33FF5">
            <w:pPr>
              <w:tabs>
                <w:tab w:val="left" w:pos="1350"/>
              </w:tabs>
              <w:rPr>
                <w:highlight w:val="yellow"/>
              </w:rPr>
            </w:pPr>
            <w:r w:rsidRPr="0022106C">
              <w:rPr>
                <w:highlight w:val="yellow"/>
              </w:rPr>
              <w:t>BIO 105 OR BIO 106</w:t>
            </w:r>
          </w:p>
        </w:tc>
        <w:tc>
          <w:tcPr>
            <w:tcW w:w="3780" w:type="dxa"/>
          </w:tcPr>
          <w:p w14:paraId="3B93B2A3" w14:textId="3BA6380E" w:rsidR="00E33FF5" w:rsidRPr="008B557F" w:rsidRDefault="00E33FF5" w:rsidP="00E33FF5">
            <w:pPr>
              <w:tabs>
                <w:tab w:val="left" w:pos="1350"/>
              </w:tabs>
            </w:pPr>
            <w:r w:rsidRPr="002C28D0">
              <w:rPr>
                <w:highlight w:val="yellow"/>
              </w:rPr>
              <w:t>BIOL 115/115L/115S</w:t>
            </w:r>
          </w:p>
        </w:tc>
      </w:tr>
      <w:tr w:rsidR="00E33FF5" w:rsidRPr="0082307E" w14:paraId="0BE9A833" w14:textId="77777777" w:rsidTr="007E70C1">
        <w:trPr>
          <w:trHeight w:val="268"/>
        </w:trPr>
        <w:tc>
          <w:tcPr>
            <w:tcW w:w="3600" w:type="dxa"/>
            <w:vMerge/>
          </w:tcPr>
          <w:p w14:paraId="1DC12C10" w14:textId="77777777" w:rsidR="00E33FF5" w:rsidRPr="0082307E" w:rsidRDefault="00E33FF5" w:rsidP="00E33FF5">
            <w:pPr>
              <w:tabs>
                <w:tab w:val="left" w:pos="1350"/>
              </w:tabs>
              <w:rPr>
                <w:b/>
                <w:bCs/>
                <w:sz w:val="24"/>
                <w:szCs w:val="24"/>
              </w:rPr>
            </w:pPr>
          </w:p>
        </w:tc>
        <w:tc>
          <w:tcPr>
            <w:tcW w:w="3600" w:type="dxa"/>
          </w:tcPr>
          <w:p w14:paraId="16C43609" w14:textId="3F224956" w:rsidR="00E33FF5" w:rsidRPr="0022106C" w:rsidRDefault="0022106C" w:rsidP="00E33FF5">
            <w:pPr>
              <w:tabs>
                <w:tab w:val="left" w:pos="1350"/>
              </w:tabs>
              <w:rPr>
                <w:i/>
                <w:highlight w:val="yellow"/>
              </w:rPr>
            </w:pPr>
            <w:r w:rsidRPr="0022106C">
              <w:rPr>
                <w:i/>
                <w:highlight w:val="yellow"/>
              </w:rPr>
              <w:t>no equivalent</w:t>
            </w:r>
          </w:p>
        </w:tc>
        <w:tc>
          <w:tcPr>
            <w:tcW w:w="3780" w:type="dxa"/>
          </w:tcPr>
          <w:p w14:paraId="0059B10B" w14:textId="72C15603" w:rsidR="00E33FF5" w:rsidRPr="008B557F" w:rsidRDefault="00E33FF5" w:rsidP="00E33FF5">
            <w:pPr>
              <w:tabs>
                <w:tab w:val="left" w:pos="1350"/>
              </w:tabs>
            </w:pPr>
            <w:r w:rsidRPr="002C28D0">
              <w:rPr>
                <w:highlight w:val="yellow"/>
              </w:rPr>
              <w:t>BIOL 205/205L/205S</w:t>
            </w:r>
          </w:p>
        </w:tc>
      </w:tr>
      <w:tr w:rsidR="00E33FF5" w:rsidRPr="0082307E" w14:paraId="68037C02" w14:textId="77777777" w:rsidTr="007E70C1">
        <w:trPr>
          <w:trHeight w:val="268"/>
        </w:trPr>
        <w:tc>
          <w:tcPr>
            <w:tcW w:w="3600" w:type="dxa"/>
            <w:vMerge/>
          </w:tcPr>
          <w:p w14:paraId="60EB8DF4" w14:textId="77777777" w:rsidR="00E33FF5" w:rsidRPr="0082307E" w:rsidRDefault="00E33FF5" w:rsidP="00E33FF5">
            <w:pPr>
              <w:tabs>
                <w:tab w:val="left" w:pos="1350"/>
              </w:tabs>
              <w:rPr>
                <w:b/>
                <w:bCs/>
                <w:sz w:val="24"/>
                <w:szCs w:val="24"/>
              </w:rPr>
            </w:pPr>
          </w:p>
        </w:tc>
        <w:tc>
          <w:tcPr>
            <w:tcW w:w="3600" w:type="dxa"/>
          </w:tcPr>
          <w:p w14:paraId="47B1BFE1" w14:textId="30EB6A6C" w:rsidR="00E33FF5" w:rsidRPr="0022106C" w:rsidRDefault="0022106C" w:rsidP="00E33FF5">
            <w:pPr>
              <w:tabs>
                <w:tab w:val="left" w:pos="1350"/>
              </w:tabs>
              <w:rPr>
                <w:highlight w:val="yellow"/>
              </w:rPr>
            </w:pPr>
            <w:r w:rsidRPr="0022106C">
              <w:rPr>
                <w:highlight w:val="yellow"/>
              </w:rPr>
              <w:t>CHM 113 OR CHM 114</w:t>
            </w:r>
          </w:p>
        </w:tc>
        <w:tc>
          <w:tcPr>
            <w:tcW w:w="3780" w:type="dxa"/>
          </w:tcPr>
          <w:p w14:paraId="091AE658" w14:textId="7E0DA4A0" w:rsidR="00E33FF5" w:rsidRPr="008B557F" w:rsidRDefault="00E33FF5" w:rsidP="00E33FF5">
            <w:pPr>
              <w:tabs>
                <w:tab w:val="left" w:pos="1350"/>
              </w:tabs>
            </w:pPr>
            <w:r w:rsidRPr="002C28D0">
              <w:rPr>
                <w:highlight w:val="yellow"/>
              </w:rPr>
              <w:t>CHEM 143/143L</w:t>
            </w:r>
          </w:p>
        </w:tc>
      </w:tr>
      <w:tr w:rsidR="00E33FF5" w:rsidRPr="0082307E" w14:paraId="2131B9CC" w14:textId="77777777" w:rsidTr="0022106C">
        <w:trPr>
          <w:trHeight w:val="323"/>
        </w:trPr>
        <w:tc>
          <w:tcPr>
            <w:tcW w:w="3600" w:type="dxa"/>
            <w:vMerge/>
          </w:tcPr>
          <w:p w14:paraId="2EE11314" w14:textId="77777777" w:rsidR="00E33FF5" w:rsidRPr="0082307E" w:rsidRDefault="00E33FF5" w:rsidP="00E33FF5">
            <w:pPr>
              <w:tabs>
                <w:tab w:val="left" w:pos="1350"/>
              </w:tabs>
              <w:rPr>
                <w:b/>
                <w:bCs/>
                <w:sz w:val="24"/>
                <w:szCs w:val="24"/>
              </w:rPr>
            </w:pPr>
          </w:p>
        </w:tc>
        <w:tc>
          <w:tcPr>
            <w:tcW w:w="3600" w:type="dxa"/>
          </w:tcPr>
          <w:p w14:paraId="0BA5C25B" w14:textId="5C494985" w:rsidR="00E33FF5" w:rsidRPr="0022106C" w:rsidRDefault="0022106C" w:rsidP="00E33FF5">
            <w:pPr>
              <w:tabs>
                <w:tab w:val="left" w:pos="1350"/>
              </w:tabs>
              <w:rPr>
                <w:highlight w:val="yellow"/>
              </w:rPr>
            </w:pPr>
            <w:r w:rsidRPr="0022106C">
              <w:rPr>
                <w:highlight w:val="yellow"/>
              </w:rPr>
              <w:t>CHM 203 or CHM 204</w:t>
            </w:r>
          </w:p>
        </w:tc>
        <w:tc>
          <w:tcPr>
            <w:tcW w:w="3780" w:type="dxa"/>
          </w:tcPr>
          <w:p w14:paraId="711DD999" w14:textId="6C7191EC" w:rsidR="00E33FF5" w:rsidRDefault="00E33FF5" w:rsidP="00E33FF5">
            <w:pPr>
              <w:tabs>
                <w:tab w:val="left" w:pos="1350"/>
              </w:tabs>
            </w:pPr>
            <w:r w:rsidRPr="002C28D0">
              <w:rPr>
                <w:highlight w:val="yellow"/>
              </w:rPr>
              <w:t>CHEM 200/200L/200S</w:t>
            </w:r>
          </w:p>
        </w:tc>
      </w:tr>
    </w:tbl>
    <w:p w14:paraId="1590F816" w14:textId="40863623" w:rsidR="0082307E" w:rsidRDefault="0082307E" w:rsidP="005C6DAA">
      <w:pPr>
        <w:tabs>
          <w:tab w:val="left" w:pos="1350"/>
        </w:tabs>
      </w:pPr>
    </w:p>
    <w:p w14:paraId="28C4FC23" w14:textId="77777777" w:rsidR="00835A8F" w:rsidRPr="003E50DB" w:rsidRDefault="00835A8F" w:rsidP="00835A8F">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28098696" w14:textId="77777777" w:rsidR="00835A8F" w:rsidRPr="003E50DB" w:rsidRDefault="00835A8F" w:rsidP="00835A8F">
      <w:pPr>
        <w:tabs>
          <w:tab w:val="left" w:pos="1350"/>
        </w:tabs>
        <w:spacing w:after="0"/>
        <w:ind w:left="-450" w:right="-900"/>
        <w:rPr>
          <w:rFonts w:cstheme="minorHAnsi"/>
          <w:b/>
          <w:bCs/>
          <w:i/>
          <w:sz w:val="30"/>
          <w:szCs w:val="30"/>
        </w:rPr>
      </w:pPr>
    </w:p>
    <w:p w14:paraId="77D7ADDC" w14:textId="21D0221A" w:rsidR="00835A8F" w:rsidRPr="00835A8F" w:rsidRDefault="00835A8F" w:rsidP="00835A8F">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4"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2324E59E" w:rsidR="00AC57A2" w:rsidRPr="00E1732F" w:rsidRDefault="00CF0B87" w:rsidP="00B54127">
            <w:pPr>
              <w:tabs>
                <w:tab w:val="left" w:pos="1350"/>
              </w:tabs>
              <w:rPr>
                <w:b/>
                <w:bCs/>
                <w:i/>
                <w:iCs/>
                <w:sz w:val="24"/>
                <w:szCs w:val="24"/>
              </w:rPr>
            </w:pPr>
            <w:r>
              <w:rPr>
                <w:b/>
                <w:bCs/>
                <w:i/>
                <w:iCs/>
                <w:sz w:val="24"/>
                <w:szCs w:val="24"/>
              </w:rPr>
              <w:t>South Suburban</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1C7A3CE8"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D03D7E">
              <w:rPr>
                <w:i/>
                <w:iCs/>
              </w:rPr>
              <w:t xml:space="preserve"> 210 220</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E85AB64"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D03D7E">
              <w:rPr>
                <w:i/>
                <w:iCs/>
              </w:rPr>
              <w:t xml:space="preserve"> 101 102 105 204 205 206 225</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4"/>
    </w:tbl>
    <w:p w14:paraId="1296E537" w14:textId="77777777" w:rsidR="001D735F" w:rsidRDefault="001D735F" w:rsidP="005C6DAA">
      <w:pPr>
        <w:tabs>
          <w:tab w:val="left" w:pos="1350"/>
        </w:tabs>
      </w:pPr>
    </w:p>
    <w:p w14:paraId="2E081DD1" w14:textId="3458A9C9" w:rsidR="00CA213F" w:rsidRPr="00F06543" w:rsidRDefault="008738A3" w:rsidP="00CA213F">
      <w:pPr>
        <w:rPr>
          <w:bCs/>
          <w:sz w:val="20"/>
          <w:szCs w:val="20"/>
        </w:rPr>
      </w:pPr>
      <w:r w:rsidRPr="005509CB">
        <w:rPr>
          <w:noProof/>
        </w:rPr>
        <w:drawing>
          <wp:anchor distT="0" distB="0" distL="114300" distR="114300" simplePos="0" relativeHeight="251659264" behindDoc="1" locked="0" layoutInCell="1" allowOverlap="1" wp14:anchorId="46198C37" wp14:editId="190E79DF">
            <wp:simplePos x="0" y="0"/>
            <wp:positionH relativeFrom="column">
              <wp:posOffset>2895600</wp:posOffset>
            </wp:positionH>
            <wp:positionV relativeFrom="paragraph">
              <wp:posOffset>694055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13F"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364ABF4" w14:textId="739D7B05" w:rsidR="00FF5E34" w:rsidRPr="00FF5E34" w:rsidRDefault="00FF5E34" w:rsidP="00FF5E34"/>
    <w:p w14:paraId="41772719" w14:textId="1323C4E6" w:rsidR="00FF5E34" w:rsidRPr="00FF5E34" w:rsidRDefault="00FF5E34" w:rsidP="00FF5E34"/>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AEAB1" w14:textId="77777777" w:rsidR="0043354D" w:rsidRDefault="0043354D" w:rsidP="00692CF1">
      <w:pPr>
        <w:spacing w:after="0" w:line="240" w:lineRule="auto"/>
      </w:pPr>
      <w:r>
        <w:separator/>
      </w:r>
    </w:p>
  </w:endnote>
  <w:endnote w:type="continuationSeparator" w:id="0">
    <w:p w14:paraId="6E4183F6" w14:textId="77777777" w:rsidR="0043354D" w:rsidRDefault="0043354D"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CE33" w14:textId="77777777" w:rsidR="0043354D" w:rsidRDefault="0043354D" w:rsidP="00692CF1">
      <w:pPr>
        <w:spacing w:after="0" w:line="240" w:lineRule="auto"/>
      </w:pPr>
      <w:r>
        <w:separator/>
      </w:r>
    </w:p>
  </w:footnote>
  <w:footnote w:type="continuationSeparator" w:id="0">
    <w:p w14:paraId="3370D77A" w14:textId="77777777" w:rsidR="0043354D" w:rsidRDefault="0043354D"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1D19D428"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C257D7">
      <w:rPr>
        <w:rFonts w:ascii="Calibri" w:eastAsia="Calibri" w:hAnsi="Calibri" w:cs="Times New Roman"/>
        <w:sz w:val="16"/>
        <w:szCs w:val="16"/>
      </w:rPr>
      <w:t>Biomedical Science</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C257D7">
      <w:rPr>
        <w:rFonts w:ascii="Calibri" w:eastAsia="Calibri" w:hAnsi="Calibri" w:cs="Times New Roman"/>
        <w:sz w:val="16"/>
        <w:szCs w:val="16"/>
      </w:rPr>
      <w:t>3-20-23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2F6ACCDE" w:rsidR="001507CE" w:rsidRPr="00E61C77" w:rsidRDefault="00884204"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South Suburban</w:t>
    </w:r>
    <w:r w:rsidR="00157630">
      <w:rPr>
        <w:rFonts w:ascii="Calibri" w:eastAsia="Calibri" w:hAnsi="Calibri" w:cs="Times New Roman"/>
        <w:sz w:val="16"/>
        <w:szCs w:val="16"/>
      </w:rPr>
      <w:t xml:space="preserv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62F9"/>
    <w:rsid w:val="00074747"/>
    <w:rsid w:val="000C15BB"/>
    <w:rsid w:val="000D2874"/>
    <w:rsid w:val="000D7FBA"/>
    <w:rsid w:val="000F72FD"/>
    <w:rsid w:val="0013038B"/>
    <w:rsid w:val="00145CD5"/>
    <w:rsid w:val="001507CE"/>
    <w:rsid w:val="00157630"/>
    <w:rsid w:val="00182892"/>
    <w:rsid w:val="00185688"/>
    <w:rsid w:val="001A3A9C"/>
    <w:rsid w:val="001A53FA"/>
    <w:rsid w:val="001D138C"/>
    <w:rsid w:val="001D4D01"/>
    <w:rsid w:val="001D735F"/>
    <w:rsid w:val="001E5EA8"/>
    <w:rsid w:val="00206D2D"/>
    <w:rsid w:val="00215887"/>
    <w:rsid w:val="0022106C"/>
    <w:rsid w:val="002261EA"/>
    <w:rsid w:val="0023106A"/>
    <w:rsid w:val="0023703D"/>
    <w:rsid w:val="00241391"/>
    <w:rsid w:val="00251C0C"/>
    <w:rsid w:val="00266EFD"/>
    <w:rsid w:val="0028188C"/>
    <w:rsid w:val="00291C58"/>
    <w:rsid w:val="00297628"/>
    <w:rsid w:val="002A25E8"/>
    <w:rsid w:val="002A57AB"/>
    <w:rsid w:val="002C11EC"/>
    <w:rsid w:val="002C603F"/>
    <w:rsid w:val="00306B45"/>
    <w:rsid w:val="00311FA3"/>
    <w:rsid w:val="0033467D"/>
    <w:rsid w:val="00347D29"/>
    <w:rsid w:val="00355E52"/>
    <w:rsid w:val="00386413"/>
    <w:rsid w:val="00396889"/>
    <w:rsid w:val="003C1CE5"/>
    <w:rsid w:val="003C43A4"/>
    <w:rsid w:val="003F1FE6"/>
    <w:rsid w:val="003F284A"/>
    <w:rsid w:val="0043354D"/>
    <w:rsid w:val="00470395"/>
    <w:rsid w:val="004732F4"/>
    <w:rsid w:val="004827E7"/>
    <w:rsid w:val="004D3B3A"/>
    <w:rsid w:val="004D4FD9"/>
    <w:rsid w:val="004F0D6D"/>
    <w:rsid w:val="005028B8"/>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2EC2"/>
    <w:rsid w:val="00607235"/>
    <w:rsid w:val="0061564A"/>
    <w:rsid w:val="00657ABF"/>
    <w:rsid w:val="00670272"/>
    <w:rsid w:val="00671F96"/>
    <w:rsid w:val="0068377E"/>
    <w:rsid w:val="006904B3"/>
    <w:rsid w:val="00692CF1"/>
    <w:rsid w:val="006E26D4"/>
    <w:rsid w:val="0071057A"/>
    <w:rsid w:val="00711B59"/>
    <w:rsid w:val="007211AD"/>
    <w:rsid w:val="007937CC"/>
    <w:rsid w:val="007A3337"/>
    <w:rsid w:val="007B62BF"/>
    <w:rsid w:val="007E70C1"/>
    <w:rsid w:val="007F3105"/>
    <w:rsid w:val="00804A93"/>
    <w:rsid w:val="008064BF"/>
    <w:rsid w:val="00816876"/>
    <w:rsid w:val="0082307E"/>
    <w:rsid w:val="00831D2F"/>
    <w:rsid w:val="00835A8F"/>
    <w:rsid w:val="00855382"/>
    <w:rsid w:val="008738A3"/>
    <w:rsid w:val="00880F57"/>
    <w:rsid w:val="00884204"/>
    <w:rsid w:val="0088526C"/>
    <w:rsid w:val="0088786D"/>
    <w:rsid w:val="00890B3A"/>
    <w:rsid w:val="008B0B67"/>
    <w:rsid w:val="008B1D5E"/>
    <w:rsid w:val="008B557F"/>
    <w:rsid w:val="008D22AC"/>
    <w:rsid w:val="008D2A42"/>
    <w:rsid w:val="008D408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1F0D"/>
    <w:rsid w:val="00AE6904"/>
    <w:rsid w:val="00AE796A"/>
    <w:rsid w:val="00AF0F73"/>
    <w:rsid w:val="00B11AFB"/>
    <w:rsid w:val="00B27222"/>
    <w:rsid w:val="00B35FCF"/>
    <w:rsid w:val="00B43E42"/>
    <w:rsid w:val="00B757CA"/>
    <w:rsid w:val="00B93076"/>
    <w:rsid w:val="00B94F4E"/>
    <w:rsid w:val="00BB6281"/>
    <w:rsid w:val="00BC7517"/>
    <w:rsid w:val="00BD348E"/>
    <w:rsid w:val="00C02BE5"/>
    <w:rsid w:val="00C05DCE"/>
    <w:rsid w:val="00C257D7"/>
    <w:rsid w:val="00C42F1E"/>
    <w:rsid w:val="00C471C5"/>
    <w:rsid w:val="00C64D03"/>
    <w:rsid w:val="00C74C0F"/>
    <w:rsid w:val="00C754A3"/>
    <w:rsid w:val="00C76B16"/>
    <w:rsid w:val="00C80B7A"/>
    <w:rsid w:val="00CA213F"/>
    <w:rsid w:val="00CA718B"/>
    <w:rsid w:val="00CC4685"/>
    <w:rsid w:val="00CD33E4"/>
    <w:rsid w:val="00CF0B87"/>
    <w:rsid w:val="00CF2454"/>
    <w:rsid w:val="00D03D7E"/>
    <w:rsid w:val="00D04EF0"/>
    <w:rsid w:val="00D11FFE"/>
    <w:rsid w:val="00D22D23"/>
    <w:rsid w:val="00D5668E"/>
    <w:rsid w:val="00D8437D"/>
    <w:rsid w:val="00D94D96"/>
    <w:rsid w:val="00DB01C9"/>
    <w:rsid w:val="00DE4264"/>
    <w:rsid w:val="00E03F44"/>
    <w:rsid w:val="00E06C9E"/>
    <w:rsid w:val="00E10036"/>
    <w:rsid w:val="00E14898"/>
    <w:rsid w:val="00E22EF4"/>
    <w:rsid w:val="00E31317"/>
    <w:rsid w:val="00E33FF5"/>
    <w:rsid w:val="00E42FB3"/>
    <w:rsid w:val="00E5060B"/>
    <w:rsid w:val="00E61C77"/>
    <w:rsid w:val="00E72E86"/>
    <w:rsid w:val="00E96F2C"/>
    <w:rsid w:val="00EE2D04"/>
    <w:rsid w:val="00EF1D83"/>
    <w:rsid w:val="00F145D0"/>
    <w:rsid w:val="00F20A7D"/>
    <w:rsid w:val="00F23DCA"/>
    <w:rsid w:val="00F477F9"/>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7</cp:revision>
  <cp:lastPrinted>2022-04-06T17:15:00Z</cp:lastPrinted>
  <dcterms:created xsi:type="dcterms:W3CDTF">2023-03-20T16:03:00Z</dcterms:created>
  <dcterms:modified xsi:type="dcterms:W3CDTF">2023-03-20T18:01:00Z</dcterms:modified>
</cp:coreProperties>
</file>